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5DC97" w14:textId="3F9C6BB6" w:rsidR="00182FC4" w:rsidRPr="004A1317" w:rsidRDefault="004A1317" w:rsidP="004A1317">
      <w:pPr>
        <w:spacing w:after="0" w:line="240" w:lineRule="auto"/>
        <w:jc w:val="both"/>
        <w:rPr>
          <w:rFonts w:ascii="Times New Roman" w:hAnsi="Times New Roman" w:cs="Times New Roman"/>
          <w:b/>
          <w:bCs/>
          <w:sz w:val="28"/>
          <w:szCs w:val="28"/>
        </w:rPr>
      </w:pPr>
      <w:bookmarkStart w:id="0" w:name="_Hlk33797254"/>
      <w:bookmarkStart w:id="1" w:name="_GoBack"/>
      <w:r w:rsidRPr="004A1317">
        <w:rPr>
          <w:rFonts w:ascii="Times New Roman" w:hAnsi="Times New Roman" w:cs="Times New Roman"/>
          <w:b/>
          <w:bCs/>
          <w:noProof/>
          <w:sz w:val="28"/>
          <w:szCs w:val="28"/>
        </w:rPr>
        <w:drawing>
          <wp:anchor distT="0" distB="0" distL="114300" distR="114300" simplePos="0" relativeHeight="251658240" behindDoc="0" locked="0" layoutInCell="1" allowOverlap="1" wp14:anchorId="557E18C2" wp14:editId="36054A6A">
            <wp:simplePos x="0" y="0"/>
            <wp:positionH relativeFrom="margin">
              <wp:align>center</wp:align>
            </wp:positionH>
            <wp:positionV relativeFrom="paragraph">
              <wp:posOffset>0</wp:posOffset>
            </wp:positionV>
            <wp:extent cx="1438910" cy="1438910"/>
            <wp:effectExtent l="0" t="0" r="8890" b="8890"/>
            <wp:wrapThrough wrapText="bothSides">
              <wp:wrapPolygon edited="0">
                <wp:start x="0" y="0"/>
                <wp:lineTo x="0" y="21447"/>
                <wp:lineTo x="21447" y="21447"/>
                <wp:lineTo x="21447"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anchor>
        </w:drawing>
      </w:r>
      <w:bookmarkEnd w:id="1"/>
    </w:p>
    <w:p w14:paraId="21D98EF2" w14:textId="08712B72" w:rsidR="00393D2E" w:rsidRPr="004A1317" w:rsidRDefault="00393D2E" w:rsidP="004A1317">
      <w:pPr>
        <w:spacing w:after="0" w:line="240" w:lineRule="auto"/>
        <w:ind w:left="-1644"/>
        <w:jc w:val="both"/>
        <w:rPr>
          <w:rFonts w:ascii="Times New Roman" w:hAnsi="Times New Roman" w:cs="Times New Roman"/>
          <w:b/>
          <w:bCs/>
          <w:sz w:val="28"/>
          <w:szCs w:val="28"/>
        </w:rPr>
      </w:pPr>
    </w:p>
    <w:p w14:paraId="7572EC2D" w14:textId="77777777" w:rsidR="004A1317" w:rsidRDefault="004A1317" w:rsidP="004A1317">
      <w:pPr>
        <w:spacing w:after="0" w:line="240" w:lineRule="auto"/>
        <w:jc w:val="both"/>
        <w:rPr>
          <w:rFonts w:ascii="Times New Roman" w:hAnsi="Times New Roman" w:cs="Times New Roman"/>
          <w:b/>
          <w:bCs/>
          <w:sz w:val="28"/>
          <w:szCs w:val="28"/>
          <w:lang w:val="fr-FR"/>
        </w:rPr>
      </w:pPr>
    </w:p>
    <w:p w14:paraId="5EE598AB" w14:textId="77777777" w:rsidR="004A1317" w:rsidRDefault="004A1317" w:rsidP="004A1317">
      <w:pPr>
        <w:spacing w:after="0" w:line="240" w:lineRule="auto"/>
        <w:jc w:val="both"/>
        <w:rPr>
          <w:rFonts w:ascii="Times New Roman" w:hAnsi="Times New Roman" w:cs="Times New Roman"/>
          <w:b/>
          <w:bCs/>
          <w:sz w:val="28"/>
          <w:szCs w:val="28"/>
          <w:lang w:val="fr-FR"/>
        </w:rPr>
      </w:pPr>
    </w:p>
    <w:p w14:paraId="61453FCF" w14:textId="77777777" w:rsidR="004A1317" w:rsidRDefault="004A1317" w:rsidP="004A1317">
      <w:pPr>
        <w:spacing w:after="0" w:line="240" w:lineRule="auto"/>
        <w:jc w:val="both"/>
        <w:rPr>
          <w:rFonts w:ascii="Times New Roman" w:hAnsi="Times New Roman" w:cs="Times New Roman"/>
          <w:b/>
          <w:bCs/>
          <w:sz w:val="28"/>
          <w:szCs w:val="28"/>
          <w:lang w:val="fr-FR"/>
        </w:rPr>
      </w:pPr>
    </w:p>
    <w:p w14:paraId="26B2E179" w14:textId="77777777" w:rsidR="004A1317" w:rsidRDefault="004A1317" w:rsidP="004A1317">
      <w:pPr>
        <w:spacing w:after="0" w:line="240" w:lineRule="auto"/>
        <w:jc w:val="both"/>
        <w:rPr>
          <w:rFonts w:ascii="Times New Roman" w:hAnsi="Times New Roman" w:cs="Times New Roman"/>
          <w:b/>
          <w:bCs/>
          <w:sz w:val="28"/>
          <w:szCs w:val="28"/>
          <w:lang w:val="fr-FR"/>
        </w:rPr>
      </w:pPr>
    </w:p>
    <w:p w14:paraId="2F78CF6A" w14:textId="77777777" w:rsidR="004A1317" w:rsidRDefault="004A1317" w:rsidP="004A1317">
      <w:pPr>
        <w:spacing w:after="0" w:line="240" w:lineRule="auto"/>
        <w:jc w:val="both"/>
        <w:rPr>
          <w:rFonts w:ascii="Times New Roman" w:hAnsi="Times New Roman" w:cs="Times New Roman"/>
          <w:b/>
          <w:bCs/>
          <w:sz w:val="28"/>
          <w:szCs w:val="28"/>
          <w:lang w:val="fr-FR"/>
        </w:rPr>
      </w:pPr>
    </w:p>
    <w:p w14:paraId="1B63E7E0" w14:textId="77777777" w:rsidR="004A1317" w:rsidRDefault="004A1317" w:rsidP="004A1317">
      <w:pPr>
        <w:spacing w:after="0" w:line="240" w:lineRule="auto"/>
        <w:jc w:val="both"/>
        <w:rPr>
          <w:rFonts w:ascii="Times New Roman" w:hAnsi="Times New Roman" w:cs="Times New Roman"/>
          <w:b/>
          <w:bCs/>
          <w:sz w:val="28"/>
          <w:szCs w:val="28"/>
          <w:lang w:val="fr-FR"/>
        </w:rPr>
      </w:pPr>
    </w:p>
    <w:p w14:paraId="40905325" w14:textId="77777777" w:rsidR="004A1317" w:rsidRDefault="004A1317" w:rsidP="004A1317">
      <w:pPr>
        <w:spacing w:after="0" w:line="240" w:lineRule="auto"/>
        <w:jc w:val="both"/>
        <w:rPr>
          <w:rFonts w:ascii="Times New Roman" w:hAnsi="Times New Roman" w:cs="Times New Roman"/>
          <w:b/>
          <w:bCs/>
          <w:sz w:val="28"/>
          <w:szCs w:val="28"/>
          <w:lang w:val="fr-FR"/>
        </w:rPr>
      </w:pPr>
    </w:p>
    <w:p w14:paraId="70508070" w14:textId="49C25DAB" w:rsidR="00666D01" w:rsidRPr="004A1317" w:rsidRDefault="00666D01" w:rsidP="004A1317">
      <w:pPr>
        <w:spacing w:after="0" w:line="240" w:lineRule="auto"/>
        <w:jc w:val="center"/>
        <w:rPr>
          <w:rFonts w:ascii="Times New Roman" w:hAnsi="Times New Roman" w:cs="Times New Roman"/>
          <w:b/>
          <w:bCs/>
          <w:sz w:val="28"/>
          <w:szCs w:val="28"/>
          <w:lang w:val="fr-FR"/>
        </w:rPr>
      </w:pPr>
      <w:r w:rsidRPr="004A1317">
        <w:rPr>
          <w:rFonts w:ascii="Times New Roman" w:hAnsi="Times New Roman" w:cs="Times New Roman"/>
          <w:b/>
          <w:bCs/>
          <w:sz w:val="28"/>
          <w:szCs w:val="28"/>
          <w:lang w:val="fr-FR"/>
        </w:rPr>
        <w:t>NOTE</w:t>
      </w:r>
      <w:r w:rsidR="00724CAD" w:rsidRPr="004A1317">
        <w:rPr>
          <w:rFonts w:ascii="Times New Roman" w:hAnsi="Times New Roman" w:cs="Times New Roman"/>
          <w:b/>
          <w:bCs/>
          <w:sz w:val="28"/>
          <w:szCs w:val="28"/>
          <w:lang w:val="fr-FR"/>
        </w:rPr>
        <w:t xml:space="preserve"> CONCEPTUELLE</w:t>
      </w:r>
    </w:p>
    <w:p w14:paraId="462DEB61" w14:textId="03611F1E" w:rsidR="00066640" w:rsidRPr="004A1317" w:rsidRDefault="00724CAD" w:rsidP="004A1317">
      <w:pPr>
        <w:spacing w:after="0" w:line="240" w:lineRule="auto"/>
        <w:jc w:val="center"/>
        <w:rPr>
          <w:rFonts w:ascii="Times New Roman" w:hAnsi="Times New Roman" w:cs="Times New Roman"/>
          <w:b/>
          <w:bCs/>
          <w:sz w:val="28"/>
          <w:szCs w:val="28"/>
          <w:lang w:val="fr-FR"/>
        </w:rPr>
      </w:pPr>
      <w:r w:rsidRPr="004A1317">
        <w:rPr>
          <w:rFonts w:ascii="Times New Roman" w:hAnsi="Times New Roman" w:cs="Times New Roman"/>
          <w:b/>
          <w:bCs/>
          <w:sz w:val="28"/>
          <w:szCs w:val="28"/>
          <w:lang w:val="fr-FR"/>
        </w:rPr>
        <w:t>GESTION DE L'EAU DANS L'AGRICULTURE</w:t>
      </w:r>
    </w:p>
    <w:p w14:paraId="6478E37D" w14:textId="77777777" w:rsidR="00CA18E4" w:rsidRPr="004A1317" w:rsidRDefault="00CA18E4" w:rsidP="004A1317">
      <w:pPr>
        <w:spacing w:after="0" w:line="240" w:lineRule="auto"/>
        <w:jc w:val="both"/>
        <w:rPr>
          <w:rFonts w:ascii="Times New Roman" w:hAnsi="Times New Roman" w:cs="Times New Roman"/>
          <w:b/>
          <w:bCs/>
          <w:sz w:val="28"/>
          <w:szCs w:val="28"/>
          <w:lang w:val="fr-FR"/>
        </w:rPr>
      </w:pPr>
    </w:p>
    <w:p w14:paraId="3F2C7D84" w14:textId="4DED6134" w:rsidR="00062C10" w:rsidRPr="004A1317" w:rsidRDefault="00062C10" w:rsidP="004A1317">
      <w:pPr>
        <w:spacing w:after="0" w:line="240" w:lineRule="auto"/>
        <w:jc w:val="both"/>
        <w:rPr>
          <w:rFonts w:ascii="Times New Roman" w:hAnsi="Times New Roman" w:cs="Times New Roman"/>
          <w:b/>
          <w:bCs/>
          <w:sz w:val="28"/>
          <w:szCs w:val="28"/>
          <w:lang w:val="fr-FR"/>
        </w:rPr>
      </w:pPr>
      <w:r w:rsidRPr="004A1317">
        <w:rPr>
          <w:rFonts w:ascii="Times New Roman" w:hAnsi="Times New Roman" w:cs="Times New Roman"/>
          <w:b/>
          <w:bCs/>
          <w:sz w:val="28"/>
          <w:szCs w:val="28"/>
          <w:lang w:val="fr-FR"/>
        </w:rPr>
        <w:t>Introduction</w:t>
      </w:r>
    </w:p>
    <w:p w14:paraId="1F2B9B2F" w14:textId="72057F26" w:rsidR="004C1E27" w:rsidRPr="004A1317" w:rsidRDefault="0010202D" w:rsidP="004A1317">
      <w:pPr>
        <w:pStyle w:val="ad"/>
        <w:spacing w:line="240" w:lineRule="auto"/>
        <w:jc w:val="both"/>
        <w:rPr>
          <w:rFonts w:ascii="Times New Roman" w:eastAsiaTheme="minorHAnsi" w:hAnsi="Times New Roman" w:cs="Times New Roman"/>
          <w:color w:val="auto"/>
          <w:spacing w:val="0"/>
          <w:sz w:val="28"/>
          <w:szCs w:val="28"/>
          <w:lang w:val="fr-FR"/>
        </w:rPr>
      </w:pPr>
      <w:r w:rsidRPr="004A1317">
        <w:rPr>
          <w:rFonts w:ascii="Times New Roman" w:eastAsiaTheme="minorHAnsi" w:hAnsi="Times New Roman" w:cs="Times New Roman"/>
          <w:color w:val="auto"/>
          <w:spacing w:val="0"/>
          <w:sz w:val="28"/>
          <w:szCs w:val="28"/>
          <w:lang w:val="fr-FR"/>
        </w:rPr>
        <w:t>La gestion de l'eau et de l'assainissement occupe une place centrale sur les fronts national et international. Outre qu'elle constitue le besoin fondamental de survie humaine et de vie saine, l'eau est essentielle à la sécurité alimentaire et nutritionnelle, à l'énergie et à l'environnement. Cette utilisation multisectorielle de l'eau a exacerbé le problème de la rareté de l'eau et de l'insécurité alimentaire qui l'accompagne, en raison de la nature aride et semi-aride de la majorité des pays formant l'Organisation de Coopération Islamique (OCI). Évidemment, l'Organisation Islamique pour la Sécurité Alimentaire, une institution spécialisée de l'OCI, a priorisé la question de la gestion de l'eau dans le but de soutenir la production agroalimentaire, l'accessibilité et la sécurité dans ses États membres</w:t>
      </w:r>
      <w:r w:rsidR="003D0EF0" w:rsidRPr="004A1317">
        <w:rPr>
          <w:rFonts w:ascii="Times New Roman" w:eastAsiaTheme="minorHAnsi" w:hAnsi="Times New Roman" w:cs="Times New Roman"/>
          <w:color w:val="auto"/>
          <w:spacing w:val="0"/>
          <w:sz w:val="28"/>
          <w:szCs w:val="28"/>
          <w:lang w:val="fr-FR"/>
        </w:rPr>
        <w:t>.</w:t>
      </w:r>
      <w:r w:rsidR="004A1317" w:rsidRPr="004A1317">
        <w:rPr>
          <w:rFonts w:ascii="Times New Roman" w:eastAsiaTheme="minorHAnsi" w:hAnsi="Times New Roman" w:cs="Times New Roman"/>
          <w:color w:val="auto"/>
          <w:spacing w:val="0"/>
          <w:sz w:val="28"/>
          <w:szCs w:val="28"/>
          <w:lang w:val="fr-FR"/>
        </w:rPr>
        <w:t xml:space="preserve"> </w:t>
      </w:r>
    </w:p>
    <w:p w14:paraId="62B74FF0" w14:textId="77777777" w:rsidR="004A1317" w:rsidRDefault="00FE0C13" w:rsidP="004A1317">
      <w:pPr>
        <w:spacing w:before="240" w:after="0"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2.</w:t>
      </w:r>
      <w:r w:rsidRPr="004A1317">
        <w:rPr>
          <w:rFonts w:ascii="Times New Roman" w:hAnsi="Times New Roman" w:cs="Times New Roman"/>
          <w:sz w:val="28"/>
          <w:szCs w:val="28"/>
          <w:lang w:val="fr-FR"/>
        </w:rPr>
        <w:tab/>
      </w:r>
      <w:r w:rsidR="0010202D" w:rsidRPr="004A1317">
        <w:rPr>
          <w:rFonts w:ascii="Times New Roman" w:hAnsi="Times New Roman" w:cs="Times New Roman"/>
          <w:sz w:val="28"/>
          <w:szCs w:val="28"/>
          <w:lang w:val="fr-FR"/>
        </w:rPr>
        <w:t>En conséquence, l'Organisation Islamique pour la Sécurité Alimentaire (OISA) fournit une expertise et un savoir-faire technique aux États membres sur les différents aspects de l’agriculture durable, du développement rural, la sécurité alimentaire et la biotechnologie, notamment en s'attaquant aux problèmes posés par la désertification, la déforestation, l'érosion et la salinité</w:t>
      </w:r>
      <w:r w:rsidR="00062C10" w:rsidRPr="004A1317">
        <w:rPr>
          <w:rFonts w:ascii="Times New Roman" w:hAnsi="Times New Roman" w:cs="Times New Roman"/>
          <w:sz w:val="28"/>
          <w:szCs w:val="28"/>
          <w:lang w:val="fr-FR"/>
        </w:rPr>
        <w:t>.</w:t>
      </w:r>
    </w:p>
    <w:p w14:paraId="26B6D96A" w14:textId="5D320359" w:rsidR="00062C10" w:rsidRPr="004A1317" w:rsidRDefault="0010202D" w:rsidP="004A1317">
      <w:pPr>
        <w:spacing w:before="240" w:after="0" w:line="240" w:lineRule="auto"/>
        <w:jc w:val="both"/>
        <w:rPr>
          <w:rFonts w:ascii="Times New Roman" w:hAnsi="Times New Roman" w:cs="Times New Roman"/>
          <w:sz w:val="28"/>
          <w:szCs w:val="28"/>
          <w:lang w:val="fr-FR"/>
        </w:rPr>
      </w:pPr>
      <w:r w:rsidRPr="004A1317">
        <w:rPr>
          <w:rFonts w:ascii="Times New Roman" w:hAnsi="Times New Roman" w:cs="Times New Roman"/>
          <w:b/>
          <w:bCs/>
          <w:sz w:val="28"/>
          <w:szCs w:val="28"/>
          <w:lang w:val="fr-FR"/>
        </w:rPr>
        <w:t>Eau et agriculture ; Options politiques majeures pour les États membres de l'OCI</w:t>
      </w:r>
      <w:r w:rsidR="00912203" w:rsidRPr="004A1317">
        <w:rPr>
          <w:rFonts w:ascii="Times New Roman" w:hAnsi="Times New Roman" w:cs="Times New Roman"/>
          <w:b/>
          <w:bCs/>
          <w:sz w:val="28"/>
          <w:szCs w:val="28"/>
          <w:lang w:val="fr-FR"/>
        </w:rPr>
        <w:t xml:space="preserve"> </w:t>
      </w:r>
    </w:p>
    <w:p w14:paraId="66D3D3E1" w14:textId="4243915E" w:rsidR="005F2EFB" w:rsidRPr="004A1317" w:rsidRDefault="003536D5"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rtl/>
        </w:rPr>
        <w:t>3</w:t>
      </w:r>
      <w:r w:rsidR="00414BDA" w:rsidRPr="004A1317">
        <w:rPr>
          <w:rFonts w:ascii="Times New Roman" w:hAnsi="Times New Roman" w:cs="Times New Roman"/>
          <w:sz w:val="28"/>
          <w:szCs w:val="28"/>
          <w:lang w:val="fr-FR"/>
        </w:rPr>
        <w:t>.</w:t>
      </w:r>
      <w:r w:rsidR="00414BDA" w:rsidRPr="004A1317">
        <w:rPr>
          <w:rFonts w:ascii="Times New Roman" w:hAnsi="Times New Roman" w:cs="Times New Roman"/>
          <w:sz w:val="28"/>
          <w:szCs w:val="28"/>
          <w:lang w:val="fr-FR"/>
        </w:rPr>
        <w:tab/>
      </w:r>
      <w:r w:rsidR="0010202D" w:rsidRPr="004A1317">
        <w:rPr>
          <w:rFonts w:ascii="Times New Roman" w:hAnsi="Times New Roman" w:cs="Times New Roman"/>
          <w:sz w:val="28"/>
          <w:szCs w:val="28"/>
          <w:lang w:val="fr-FR"/>
        </w:rPr>
        <w:t xml:space="preserve">La plupart des pays de l'OCI dépendent de l'eau souterraine, de l'eau de surface ou dessalée pour son approvisionnement en eau à usage domestique, en énergie et pour la production agricole. Les ressources totales en eau renouvelables des pays de l'OCI, conformément à l'analyse SESRIC basée sur les données de la FAO, se sont élevées à 7,262 milliards de m3 / an entre la période 2013-17, représentant 13,3% du total mondial des ressources en eau renouvelables. La plupart des États membres de l'OCI ne bénéficient pas d'un approvisionnement suffisant en ressources en eau conformément au seuil approuvé. On estime que 26 États membres de l'OCI souffrent de </w:t>
      </w:r>
      <w:r w:rsidR="0010202D" w:rsidRPr="004A1317">
        <w:rPr>
          <w:rFonts w:ascii="Times New Roman" w:hAnsi="Times New Roman" w:cs="Times New Roman"/>
          <w:iCs/>
          <w:sz w:val="28"/>
          <w:szCs w:val="28"/>
          <w:lang w:val="fr-FR"/>
        </w:rPr>
        <w:t>stress hydrique</w:t>
      </w:r>
      <w:r w:rsidR="0010202D" w:rsidRPr="004A1317">
        <w:rPr>
          <w:rFonts w:ascii="Times New Roman" w:hAnsi="Times New Roman" w:cs="Times New Roman"/>
          <w:sz w:val="28"/>
          <w:szCs w:val="28"/>
          <w:lang w:val="fr-FR"/>
        </w:rPr>
        <w:t xml:space="preserve">, ayant moins de 1700 m3 par an par habitant, tandis qu'environ 6 États membres de l'OCI, avec moins de 1000 m3 par an par habitant, sont considérés comme souffrant de </w:t>
      </w:r>
      <w:r w:rsidR="0010202D" w:rsidRPr="004A1317">
        <w:rPr>
          <w:rFonts w:ascii="Times New Roman" w:hAnsi="Times New Roman" w:cs="Times New Roman"/>
          <w:iCs/>
          <w:sz w:val="28"/>
          <w:szCs w:val="28"/>
          <w:lang w:val="fr-FR"/>
        </w:rPr>
        <w:t>pénurie d'eau</w:t>
      </w:r>
      <w:r w:rsidR="0010202D" w:rsidRPr="004A1317">
        <w:rPr>
          <w:rFonts w:ascii="Times New Roman" w:hAnsi="Times New Roman" w:cs="Times New Roman"/>
          <w:sz w:val="28"/>
          <w:szCs w:val="28"/>
          <w:lang w:val="fr-FR"/>
        </w:rPr>
        <w:t xml:space="preserve">. Malheureusement, 14 États membres de l'OCI sont considérés comme ceux souffrant d'une </w:t>
      </w:r>
      <w:r w:rsidR="0010202D" w:rsidRPr="004A1317">
        <w:rPr>
          <w:rFonts w:ascii="Times New Roman" w:hAnsi="Times New Roman" w:cs="Times New Roman"/>
          <w:iCs/>
          <w:sz w:val="28"/>
          <w:szCs w:val="28"/>
          <w:lang w:val="fr-FR"/>
        </w:rPr>
        <w:t>pénurie absolue d'eau</w:t>
      </w:r>
      <w:r w:rsidR="0010202D" w:rsidRPr="004A1317">
        <w:rPr>
          <w:rFonts w:ascii="Times New Roman" w:hAnsi="Times New Roman" w:cs="Times New Roman"/>
          <w:sz w:val="28"/>
          <w:szCs w:val="28"/>
          <w:lang w:val="fr-FR"/>
        </w:rPr>
        <w:t xml:space="preserve">. Compte tenu de cet état de fait, la conservation et l'utilisation </w:t>
      </w:r>
      <w:r w:rsidR="0010202D" w:rsidRPr="004A1317">
        <w:rPr>
          <w:rFonts w:ascii="Times New Roman" w:hAnsi="Times New Roman" w:cs="Times New Roman"/>
          <w:sz w:val="28"/>
          <w:szCs w:val="28"/>
          <w:lang w:val="fr-FR"/>
        </w:rPr>
        <w:lastRenderedPageBreak/>
        <w:t>efficace des ressources en eau pour l'agriculture est une préoccupation majeure des États membres de l'OCI dans leur programme de développement</w:t>
      </w:r>
      <w:r w:rsidR="009D47AA" w:rsidRPr="004A1317">
        <w:rPr>
          <w:rFonts w:ascii="Times New Roman" w:hAnsi="Times New Roman" w:cs="Times New Roman"/>
          <w:sz w:val="28"/>
          <w:szCs w:val="28"/>
          <w:lang w:val="fr-FR"/>
        </w:rPr>
        <w:t>.</w:t>
      </w:r>
      <w:r w:rsidR="004A1317" w:rsidRPr="004A1317">
        <w:rPr>
          <w:rFonts w:ascii="Times New Roman" w:hAnsi="Times New Roman" w:cs="Times New Roman"/>
          <w:sz w:val="28"/>
          <w:szCs w:val="28"/>
          <w:lang w:val="fr-FR"/>
        </w:rPr>
        <w:t xml:space="preserve">       </w:t>
      </w:r>
    </w:p>
    <w:p w14:paraId="0770C5FC" w14:textId="1A28FC45" w:rsidR="001F78F7" w:rsidRDefault="004A1317" w:rsidP="004A1317">
      <w:pPr>
        <w:spacing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4</w:t>
      </w:r>
      <w:r w:rsidR="00FE0C13" w:rsidRPr="004A1317">
        <w:rPr>
          <w:rFonts w:ascii="Times New Roman" w:hAnsi="Times New Roman" w:cs="Times New Roman"/>
          <w:sz w:val="28"/>
          <w:szCs w:val="28"/>
          <w:lang w:val="fr-FR"/>
        </w:rPr>
        <w:t>.</w:t>
      </w:r>
      <w:r w:rsidR="00FE0C13" w:rsidRPr="004A1317">
        <w:rPr>
          <w:rFonts w:ascii="Times New Roman" w:hAnsi="Times New Roman" w:cs="Times New Roman"/>
          <w:sz w:val="28"/>
          <w:szCs w:val="28"/>
          <w:lang w:val="fr-FR"/>
        </w:rPr>
        <w:tab/>
      </w:r>
      <w:r w:rsidR="0010202D" w:rsidRPr="004A1317">
        <w:rPr>
          <w:rFonts w:ascii="Times New Roman" w:hAnsi="Times New Roman" w:cs="Times New Roman"/>
          <w:sz w:val="28"/>
          <w:szCs w:val="28"/>
          <w:lang w:val="fr-FR"/>
        </w:rPr>
        <w:t>Par conséquent, la nécessité de concevoir diverses méthodes créatives pour augmenter, conserver et diversifier les sources d'eau est cruciale dans leurs politiques et actions nationales et internationales. Les questions de la dépendance à l'eau, de la conservation, de l'utilisation et de la réutilisation de l'eau renouvelable, du dessalement et de la coopération avec les pays voisins sur le partage transfrontalier de l'eau, ainsi que de la conception de méthodes créatives modernes d'irrigation et de réformes agraires des terres sont pertinentes pour assurer la résilience du système alimentaire et l'amélioration du bien-être et des moyens de subsistance pour la généralité des peuples dans les États membres de l'OCI</w:t>
      </w:r>
      <w:r w:rsidR="00463140" w:rsidRPr="004A1317">
        <w:rPr>
          <w:rFonts w:ascii="Times New Roman" w:hAnsi="Times New Roman" w:cs="Times New Roman"/>
          <w:sz w:val="28"/>
          <w:szCs w:val="28"/>
          <w:lang w:val="fr-FR"/>
        </w:rPr>
        <w:t xml:space="preserve">. </w:t>
      </w:r>
    </w:p>
    <w:p w14:paraId="316290EC" w14:textId="40B14F18" w:rsidR="004A1317" w:rsidRPr="004A1317" w:rsidRDefault="004A1317" w:rsidP="004A1317">
      <w:pPr>
        <w:spacing w:line="240"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Figure 1.</w:t>
      </w:r>
      <w:r w:rsidRPr="004A1317">
        <w:rPr>
          <w:rFonts w:ascii="Times New Roman" w:hAnsi="Times New Roman" w:cs="Times New Roman"/>
          <w:b/>
          <w:sz w:val="28"/>
          <w:szCs w:val="28"/>
          <w:lang w:val="fr-FR"/>
        </w:rPr>
        <w:t xml:space="preserve"> Prélèvements d'eau par secteur dans la région de l'OCI 2003 - 2017</w:t>
      </w:r>
    </w:p>
    <w:p w14:paraId="5CBFF51D" w14:textId="4B2B535E" w:rsidR="009046C1" w:rsidRPr="004A1317" w:rsidRDefault="009046C1"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noProof/>
          <w:sz w:val="28"/>
          <w:szCs w:val="28"/>
        </w:rPr>
        <w:drawing>
          <wp:inline distT="0" distB="0" distL="0" distR="0" wp14:anchorId="582A2453" wp14:editId="40DA3362">
            <wp:extent cx="4070350" cy="4322091"/>
            <wp:effectExtent l="0" t="0" r="6350" b="254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001" cy="4348267"/>
                    </a:xfrm>
                    <a:prstGeom prst="rect">
                      <a:avLst/>
                    </a:prstGeom>
                  </pic:spPr>
                </pic:pic>
              </a:graphicData>
            </a:graphic>
          </wp:inline>
        </w:drawing>
      </w:r>
    </w:p>
    <w:p w14:paraId="629CFF62" w14:textId="00C0EEC4" w:rsidR="004F7972" w:rsidRPr="004A1317" w:rsidRDefault="0010202D" w:rsidP="004A1317">
      <w:pPr>
        <w:spacing w:before="240" w:after="0" w:line="240" w:lineRule="auto"/>
        <w:jc w:val="both"/>
        <w:rPr>
          <w:rFonts w:ascii="Times New Roman" w:hAnsi="Times New Roman" w:cs="Times New Roman"/>
          <w:b/>
          <w:sz w:val="28"/>
          <w:szCs w:val="28"/>
          <w:lang w:val="fr-FR"/>
        </w:rPr>
      </w:pPr>
      <w:r w:rsidRPr="004A1317">
        <w:rPr>
          <w:rFonts w:ascii="Times New Roman" w:hAnsi="Times New Roman" w:cs="Times New Roman"/>
          <w:b/>
          <w:sz w:val="28"/>
          <w:szCs w:val="28"/>
          <w:lang w:val="fr-FR"/>
        </w:rPr>
        <w:t xml:space="preserve">Eau de pluie et précipitations </w:t>
      </w:r>
    </w:p>
    <w:p w14:paraId="7F4F2DB3" w14:textId="03DF2FA5" w:rsidR="0083098F" w:rsidRDefault="00FE0C13"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6.</w:t>
      </w:r>
      <w:r w:rsidRPr="004A1317">
        <w:rPr>
          <w:rFonts w:ascii="Times New Roman" w:hAnsi="Times New Roman" w:cs="Times New Roman"/>
          <w:sz w:val="28"/>
          <w:szCs w:val="28"/>
          <w:lang w:val="fr-FR"/>
        </w:rPr>
        <w:tab/>
      </w:r>
      <w:r w:rsidR="0010202D" w:rsidRPr="004A1317">
        <w:rPr>
          <w:rFonts w:ascii="Times New Roman" w:hAnsi="Times New Roman" w:cs="Times New Roman"/>
          <w:sz w:val="28"/>
          <w:szCs w:val="28"/>
          <w:lang w:val="fr-FR"/>
        </w:rPr>
        <w:t xml:space="preserve">La quantité d'eau générée par la pluie et la neige est comparativement inférieure à la moyenne des précipitations mondiales et à celle des pays en développement. Les États membres de l'OCI ont enregistré une précipitation annuelle moyenne en profondeur entre les périodes 2013-17 s'élevant à 47 000 mm, ce qui équivaut à 22,6% de la moyenne mondiale et 36,1% de celle des pays en développement. Cependant, le modèle de </w:t>
      </w:r>
      <w:r w:rsidR="0010202D" w:rsidRPr="004A1317">
        <w:rPr>
          <w:rFonts w:ascii="Times New Roman" w:hAnsi="Times New Roman" w:cs="Times New Roman"/>
          <w:sz w:val="28"/>
          <w:szCs w:val="28"/>
          <w:lang w:val="fr-FR"/>
        </w:rPr>
        <w:lastRenderedPageBreak/>
        <w:t>distribution a montré que l'Afrique subsaharienne (ASS) a enregistré 25,9% des précipitations totales des États membres de l'OCI, tandis que la région du Moyen-Orient et de l'Afrique du Nord (MENA) n'a enregistré que 5% de ce chiffre</w:t>
      </w:r>
      <w:r w:rsidR="00E06FD3" w:rsidRPr="004A1317">
        <w:rPr>
          <w:rFonts w:ascii="Times New Roman" w:hAnsi="Times New Roman" w:cs="Times New Roman"/>
          <w:sz w:val="28"/>
          <w:szCs w:val="28"/>
          <w:lang w:val="fr-FR"/>
        </w:rPr>
        <w:t>.</w:t>
      </w:r>
      <w:r w:rsidR="004A1317" w:rsidRPr="004A1317">
        <w:rPr>
          <w:rFonts w:ascii="Times New Roman" w:hAnsi="Times New Roman" w:cs="Times New Roman"/>
          <w:sz w:val="28"/>
          <w:szCs w:val="28"/>
          <w:lang w:val="fr-FR"/>
        </w:rPr>
        <w:t xml:space="preserve"> </w:t>
      </w:r>
    </w:p>
    <w:p w14:paraId="2C0B19B4" w14:textId="77777777" w:rsidR="004A1317" w:rsidRDefault="004A1317" w:rsidP="004A1317">
      <w:pPr>
        <w:spacing w:after="0" w:line="240" w:lineRule="auto"/>
        <w:jc w:val="both"/>
        <w:rPr>
          <w:rFonts w:ascii="Times New Roman" w:hAnsi="Times New Roman" w:cs="Times New Roman"/>
          <w:sz w:val="28"/>
          <w:szCs w:val="28"/>
          <w:lang w:val="fr-FR"/>
        </w:rPr>
      </w:pPr>
    </w:p>
    <w:p w14:paraId="243381B1" w14:textId="15EA6182" w:rsidR="004A1317" w:rsidRPr="004A1317" w:rsidRDefault="004A1317" w:rsidP="004A1317">
      <w:pPr>
        <w:spacing w:after="0" w:line="240" w:lineRule="auto"/>
        <w:jc w:val="both"/>
        <w:rPr>
          <w:rFonts w:ascii="Times New Roman" w:hAnsi="Times New Roman" w:cs="Times New Roman"/>
          <w:b/>
          <w:sz w:val="28"/>
          <w:szCs w:val="28"/>
          <w:lang w:val="fr-FR"/>
        </w:rPr>
      </w:pPr>
      <w:r>
        <w:rPr>
          <w:rFonts w:ascii="Times New Roman" w:hAnsi="Times New Roman" w:cs="Times New Roman"/>
          <w:b/>
          <w:sz w:val="28"/>
          <w:szCs w:val="28"/>
          <w:lang w:val="fr-FR"/>
        </w:rPr>
        <w:t>Figure 2.</w:t>
      </w:r>
      <w:r w:rsidRPr="004A1317">
        <w:rPr>
          <w:rFonts w:ascii="Times New Roman" w:hAnsi="Times New Roman" w:cs="Times New Roman"/>
          <w:b/>
          <w:sz w:val="28"/>
          <w:szCs w:val="28"/>
          <w:lang w:val="fr-FR"/>
        </w:rPr>
        <w:t xml:space="preserve"> Ressources totales en eau renouvelable (TRWR) dans les régions de l'OCI, 2013-2017</w:t>
      </w:r>
    </w:p>
    <w:p w14:paraId="3CA4C2B3" w14:textId="12F1DC6B" w:rsidR="009046C1" w:rsidRPr="004A1317" w:rsidRDefault="009046C1"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noProof/>
          <w:sz w:val="28"/>
          <w:szCs w:val="28"/>
        </w:rPr>
        <w:drawing>
          <wp:inline distT="0" distB="0" distL="0" distR="0" wp14:anchorId="63A19F5B" wp14:editId="4A6B3F86">
            <wp:extent cx="4781550" cy="26574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81550" cy="2657475"/>
                    </a:xfrm>
                    <a:prstGeom prst="rect">
                      <a:avLst/>
                    </a:prstGeom>
                  </pic:spPr>
                </pic:pic>
              </a:graphicData>
            </a:graphic>
          </wp:inline>
        </w:drawing>
      </w:r>
    </w:p>
    <w:p w14:paraId="0170A326" w14:textId="663B4E32" w:rsidR="00463140" w:rsidRPr="004A1317" w:rsidRDefault="0010202D" w:rsidP="004A1317">
      <w:pPr>
        <w:spacing w:before="240" w:after="0" w:line="240" w:lineRule="auto"/>
        <w:jc w:val="both"/>
        <w:rPr>
          <w:rFonts w:ascii="Times New Roman" w:hAnsi="Times New Roman" w:cs="Times New Roman"/>
          <w:b/>
          <w:sz w:val="28"/>
          <w:szCs w:val="28"/>
          <w:lang w:val="fr-FR"/>
        </w:rPr>
      </w:pPr>
      <w:r w:rsidRPr="004A1317">
        <w:rPr>
          <w:rFonts w:ascii="Times New Roman" w:hAnsi="Times New Roman" w:cs="Times New Roman"/>
          <w:b/>
          <w:sz w:val="28"/>
          <w:szCs w:val="28"/>
          <w:lang w:val="fr-FR"/>
        </w:rPr>
        <w:t>Partage de l'eaux transfrontalières</w:t>
      </w:r>
    </w:p>
    <w:p w14:paraId="04838B45" w14:textId="00A09CA0" w:rsidR="00463140" w:rsidRP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7.</w:t>
      </w:r>
      <w:r w:rsidRPr="004A1317">
        <w:rPr>
          <w:rFonts w:ascii="Times New Roman" w:hAnsi="Times New Roman" w:cs="Times New Roman"/>
          <w:sz w:val="28"/>
          <w:szCs w:val="28"/>
          <w:lang w:val="fr-FR"/>
        </w:rPr>
        <w:tab/>
      </w:r>
      <w:r w:rsidR="0010202D" w:rsidRPr="004A1317">
        <w:rPr>
          <w:rFonts w:ascii="Times New Roman" w:hAnsi="Times New Roman" w:cs="Times New Roman"/>
          <w:sz w:val="28"/>
          <w:szCs w:val="28"/>
          <w:lang w:val="fr-FR"/>
        </w:rPr>
        <w:t>Tandis que l'eau de pluie contribue de manière significative aux ressources en eau renouvelables internes, le fait que certains pays de l'OCI partagent des eaux avec d'autres pays a accru la dépendance de ces pays à l'égard des ressources en eau d'autres pays. Statistiquement, les États membres de l'OCI dépendent des autres pays voisins pour 27,4 % de leurs besoins totaux par an entre les périodes 2013-17, une proportion qui est supérieure à 24,1% pour les autres pays en développement et 21,5 % au niveau mondial. En outre, environ 19 pays de l'OCI ont enregistré une dépendance supérieure à 50% à l'égard des pays voisins pour leurs besoins en eau. Par exemple, le Koweït et le Turkménistan ont enregistré des ratios de dépendance de 100% et 97% respectivement, tandis que l'Égypte et Bahreïn ont enregistré 96,9% et 96,6% respectivement au cours de la même période. De même, les chiffres pour la Mauritanie et le Soudan sont respectivement de 96,5% et 96,1%</w:t>
      </w:r>
      <w:r w:rsidR="00006962" w:rsidRPr="004A1317">
        <w:rPr>
          <w:rFonts w:ascii="Times New Roman" w:hAnsi="Times New Roman" w:cs="Times New Roman"/>
          <w:sz w:val="28"/>
          <w:szCs w:val="28"/>
          <w:lang w:val="fr-FR"/>
        </w:rPr>
        <w:t>.</w:t>
      </w:r>
      <w:r w:rsidR="004A1317" w:rsidRPr="004A1317">
        <w:rPr>
          <w:rFonts w:ascii="Times New Roman" w:hAnsi="Times New Roman" w:cs="Times New Roman"/>
          <w:sz w:val="28"/>
          <w:szCs w:val="28"/>
          <w:lang w:val="fr-FR"/>
        </w:rPr>
        <w:t xml:space="preserve"> </w:t>
      </w:r>
    </w:p>
    <w:p w14:paraId="7409D8D4" w14:textId="53D77C06" w:rsidR="000D09D7" w:rsidRP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8.</w:t>
      </w:r>
      <w:r w:rsidRPr="004A1317">
        <w:rPr>
          <w:rFonts w:ascii="Times New Roman" w:hAnsi="Times New Roman" w:cs="Times New Roman"/>
          <w:sz w:val="28"/>
          <w:szCs w:val="28"/>
          <w:lang w:val="fr-FR"/>
        </w:rPr>
        <w:tab/>
      </w:r>
      <w:r w:rsidR="0010202D" w:rsidRPr="004A1317">
        <w:rPr>
          <w:rFonts w:ascii="Times New Roman" w:hAnsi="Times New Roman" w:cs="Times New Roman"/>
          <w:sz w:val="28"/>
          <w:szCs w:val="28"/>
          <w:lang w:val="fr-FR"/>
        </w:rPr>
        <w:t>Il est très remarquable que les États membres de l'OCI disposent de huit bassins fluviaux internationaux : cinq en Afrique (Nil, Niger, Sénégal, lac Tchad et Limpopo) et trois en Asie (Euphrate et Tigre, mer d'Aral - Amu Darya et Sri Darya, et Ganges). En conséquence, le Koweït et Bahreïn dépendent de l'aquifère d'eau souterraine qui coule d'Arabie saoudite, tandis que l'Éthiopie dépend du Nil qui coule d'Éthiopie. La Mauritanie et le Turkménistan dépendent respectivement du fleuve Sénégal et des fleuves Amu Darya / Syr Darya</w:t>
      </w:r>
      <w:r w:rsidR="000D09D7" w:rsidRPr="004A1317">
        <w:rPr>
          <w:rFonts w:ascii="Times New Roman" w:hAnsi="Times New Roman" w:cs="Times New Roman"/>
          <w:sz w:val="28"/>
          <w:szCs w:val="28"/>
          <w:lang w:val="fr-FR"/>
        </w:rPr>
        <w:t>.</w:t>
      </w:r>
    </w:p>
    <w:p w14:paraId="37947F9A" w14:textId="5F541024" w:rsidR="00E43892" w:rsidRPr="004A1317" w:rsidRDefault="00FE0C13"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lastRenderedPageBreak/>
        <w:t>9.</w:t>
      </w:r>
      <w:r w:rsidRPr="004A1317">
        <w:rPr>
          <w:rFonts w:ascii="Times New Roman" w:hAnsi="Times New Roman" w:cs="Times New Roman"/>
          <w:sz w:val="28"/>
          <w:szCs w:val="28"/>
          <w:lang w:val="fr-FR"/>
        </w:rPr>
        <w:tab/>
      </w:r>
      <w:r w:rsidR="0010202D" w:rsidRPr="004A1317">
        <w:rPr>
          <w:rFonts w:ascii="Times New Roman" w:hAnsi="Times New Roman" w:cs="Times New Roman"/>
          <w:sz w:val="28"/>
          <w:szCs w:val="28"/>
          <w:lang w:val="fr-FR"/>
        </w:rPr>
        <w:t>S'il est reconnu que les accords de partage de l'eau entre les différents pays riverains ont toujours fait l'objet de négociations bilatérales et multilatérales entre les pays en aval et en amont dans un bassin hydrographique donné, le rôle de l'OISA, dans le cadre de ce programme de coopération, se limitera aux questions concernant l'utilisation efficace de l'eau pour l'alimentation et l'agriculture et le partage de meilleures pratiques pour une utilisation optimale des ressources en eau sur le front national uniquement. Cependant, la question du soutien aux pays du bassin du lac Tchad face à la diminution persistante des eaux du lac Tchad nécessite la mise en commun des ressources par les États membres, comme le stipule la résolution pertinente de l'OCI n ° 3/46-E (B) adoptée à le 46ème CFM tenu à Abu-Dhabi, Emirats Arabes Unis les 1-2 mars 2019, qui a appelé à soutenir la recharge du lac Tchad. Ce dernier est dans le contexte du fait que le rétrécissement du lac Tchad a poussé les communautés, qui dépendent de son eau pour l'agriculture et l'élevage, la pêche, le commerce et les échanges, à abjecter la pauvreté, entre autres problèmes</w:t>
      </w:r>
      <w:r w:rsidR="00F30905" w:rsidRPr="004A1317">
        <w:rPr>
          <w:rFonts w:ascii="Times New Roman" w:hAnsi="Times New Roman" w:cs="Times New Roman"/>
          <w:sz w:val="28"/>
          <w:szCs w:val="28"/>
          <w:lang w:val="fr-FR"/>
        </w:rPr>
        <w:t>.</w:t>
      </w:r>
      <w:r w:rsidR="004A1317" w:rsidRPr="004A1317">
        <w:rPr>
          <w:rFonts w:ascii="Times New Roman" w:hAnsi="Times New Roman" w:cs="Times New Roman"/>
          <w:sz w:val="28"/>
          <w:szCs w:val="28"/>
          <w:lang w:val="fr-FR"/>
        </w:rPr>
        <w:t xml:space="preserve"> </w:t>
      </w:r>
    </w:p>
    <w:p w14:paraId="5834501D" w14:textId="104005F7" w:rsidR="00E43892" w:rsidRPr="004A1317" w:rsidRDefault="00B71E3B" w:rsidP="004A1317">
      <w:pPr>
        <w:spacing w:before="240" w:after="0" w:line="240" w:lineRule="auto"/>
        <w:jc w:val="both"/>
        <w:rPr>
          <w:rFonts w:ascii="Times New Roman" w:hAnsi="Times New Roman" w:cs="Times New Roman"/>
          <w:b/>
          <w:sz w:val="28"/>
          <w:szCs w:val="28"/>
          <w:lang w:val="fr-FR"/>
        </w:rPr>
      </w:pPr>
      <w:r w:rsidRPr="004A1317">
        <w:rPr>
          <w:rFonts w:ascii="Times New Roman" w:hAnsi="Times New Roman" w:cs="Times New Roman"/>
          <w:b/>
          <w:sz w:val="28"/>
          <w:szCs w:val="28"/>
          <w:lang w:val="fr-FR"/>
        </w:rPr>
        <w:t>Prélèvement d'eau et irrigation à des fins agricoles</w:t>
      </w:r>
    </w:p>
    <w:p w14:paraId="7F2F439E" w14:textId="6E645EAB" w:rsidR="00EA014A" w:rsidRP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10.</w:t>
      </w:r>
      <w:r w:rsidRPr="004A1317">
        <w:rPr>
          <w:rFonts w:ascii="Times New Roman" w:hAnsi="Times New Roman" w:cs="Times New Roman"/>
          <w:sz w:val="28"/>
          <w:szCs w:val="28"/>
          <w:lang w:val="fr-FR"/>
        </w:rPr>
        <w:tab/>
      </w:r>
      <w:r w:rsidR="00B71E3B" w:rsidRPr="004A1317">
        <w:rPr>
          <w:rFonts w:ascii="Times New Roman" w:hAnsi="Times New Roman" w:cs="Times New Roman"/>
          <w:sz w:val="28"/>
          <w:szCs w:val="28"/>
          <w:lang w:val="fr-FR"/>
        </w:rPr>
        <w:t>Les contraintes d'une eau de pluie insuffisante mettent en évidence l'importance de l'irrigation et des prélèvements d'eau souterraine. L'utilisation de l'eau pour l'agriculture est liée au quantum et à l'efficacité des prélèvements. Les pays de l'OCI représentent 23,8% du total des prélèvements mondiaux d'eau à des fins agricoles et ce chiffre représente 84,1% de leurs prélèvements totaux, une situation qui est supérieure au retrait moyen mondial de 69,5%, tandis que la moyenne pour les pays en développement est estimée à 75,6 %. L'irrigation représente la majeure partie des prélèvements d'eau dans les États membres de l'OCI. Avec une superficie totale équipée pour l'irrigation couvrant 68,1 millions d'hectares, soit 25,4% de la moyenne mondiale, la totalité des terres irriguées de l'OCI ne représentent que 25,6% de ses terres arables contre 23,7% pour les pays en développement et 21,5% dans le monde</w:t>
      </w:r>
      <w:r w:rsidR="00997B5D" w:rsidRPr="004A1317">
        <w:rPr>
          <w:rFonts w:ascii="Times New Roman" w:hAnsi="Times New Roman" w:cs="Times New Roman"/>
          <w:sz w:val="28"/>
          <w:szCs w:val="28"/>
          <w:lang w:val="fr-FR"/>
        </w:rPr>
        <w:t>.</w:t>
      </w:r>
      <w:r w:rsidR="00E2183F" w:rsidRPr="004A1317">
        <w:rPr>
          <w:rFonts w:ascii="Times New Roman" w:hAnsi="Times New Roman" w:cs="Times New Roman"/>
          <w:sz w:val="28"/>
          <w:szCs w:val="28"/>
          <w:lang w:val="fr-FR"/>
        </w:rPr>
        <w:t xml:space="preserve"> </w:t>
      </w:r>
    </w:p>
    <w:p w14:paraId="767ECEF6" w14:textId="7BFA1B97" w:rsidR="00654335" w:rsidRP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11.</w:t>
      </w:r>
      <w:r w:rsidRPr="004A1317">
        <w:rPr>
          <w:rFonts w:ascii="Times New Roman" w:hAnsi="Times New Roman" w:cs="Times New Roman"/>
          <w:sz w:val="28"/>
          <w:szCs w:val="28"/>
          <w:lang w:val="fr-FR"/>
        </w:rPr>
        <w:tab/>
      </w:r>
      <w:r w:rsidR="00B71E3B" w:rsidRPr="004A1317">
        <w:rPr>
          <w:rFonts w:ascii="Times New Roman" w:hAnsi="Times New Roman" w:cs="Times New Roman"/>
          <w:sz w:val="28"/>
          <w:szCs w:val="28"/>
          <w:lang w:val="fr-FR"/>
        </w:rPr>
        <w:t xml:space="preserve">La variation de la répartition des surfaces équipées pour l'irrigation est également une autre contrainte. Selon l'analyse SESRIC basée sur les données de la FAO, 15 pays de l'OCI ont des superficies irriguées de 68,1 millions d'hectares, représentant 90,6% de la superficie totale irriguée de l'OCI, le Pakistan représentant à lui seul 19,3 millions d'hectares, soit 25,6% de la superficie totale irriguée de l'OCI. Il est également préoccupant que seulement 9 pays de l'OCI affichent plus de 20% en ce qui concerne la proportion de leur zone d'irrigation par rapport à leurs zones agricoles. À cet égard, 13 pays ont des superficies irriguées inférieures à 0,2% de leurs terres agricoles. Ces chiffres montrent qu'il faudrait mobiliser de nombreux investissements pour cette infrastructure agricole essentielle, notamment en garantissant l'accès aux technologies modernes pour les méthodes d'irrigation non conventionnelles. La prévalence de la méthode d'irrigation de surface dans les États membres de l'OCI n'est pas efficace car cette méthode est gourmande en eau. Alors que seulement 3,5% des terres irriguées dans les pays de l'OCI sont par irrigation par aspersion, plus de 81% des terres irriguées sont par irrigation de surface. Plus précisément, cette irrigation par aspersion moderne est largement utilisée dans 7 États </w:t>
      </w:r>
      <w:r w:rsidR="00B71E3B" w:rsidRPr="004A1317">
        <w:rPr>
          <w:rFonts w:ascii="Times New Roman" w:hAnsi="Times New Roman" w:cs="Times New Roman"/>
          <w:sz w:val="28"/>
          <w:szCs w:val="28"/>
          <w:lang w:val="fr-FR"/>
        </w:rPr>
        <w:lastRenderedPageBreak/>
        <w:t>membres de l'OCI sur 20% de leurs zones irriguées. Côte d’Ivoire (75,4%); Arabie saoudite (59,4%); Bénin (41,7%); et le Liban (27,9%), tandis que 27 pays ont moins de 0,1% de la superficie irriguée par aspersion</w:t>
      </w:r>
      <w:r w:rsidR="00654335" w:rsidRPr="004A1317">
        <w:rPr>
          <w:rFonts w:ascii="Times New Roman" w:hAnsi="Times New Roman" w:cs="Times New Roman"/>
          <w:sz w:val="28"/>
          <w:szCs w:val="28"/>
          <w:lang w:val="fr-FR"/>
        </w:rPr>
        <w:t xml:space="preserve">. </w:t>
      </w:r>
    </w:p>
    <w:p w14:paraId="3E3DE5A6" w14:textId="7284EF22" w:rsidR="00E2183F" w:rsidRDefault="00FE0C13"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12.</w:t>
      </w:r>
      <w:r w:rsidRPr="004A1317">
        <w:rPr>
          <w:rFonts w:ascii="Times New Roman" w:hAnsi="Times New Roman" w:cs="Times New Roman"/>
          <w:sz w:val="28"/>
          <w:szCs w:val="28"/>
          <w:lang w:val="fr-FR"/>
        </w:rPr>
        <w:tab/>
      </w:r>
      <w:r w:rsidR="00B71E3B" w:rsidRPr="004A1317">
        <w:rPr>
          <w:rFonts w:ascii="Times New Roman" w:hAnsi="Times New Roman" w:cs="Times New Roman"/>
          <w:sz w:val="28"/>
          <w:szCs w:val="28"/>
          <w:lang w:val="fr-FR"/>
        </w:rPr>
        <w:t>L'autre méthode moderne d'irrigation localisée est encore plus efficace car l'eau n'est appliquée que sur une partie du sol du champ à la base de la plante (zone racinaire) en petites quantités mais fréquentes (c'est-à-dire goutte à goutte</w:t>
      </w:r>
      <w:r w:rsidR="00B71E3B" w:rsidRPr="004A1317">
        <w:rPr>
          <w:rStyle w:val="ac"/>
          <w:rFonts w:ascii="Times New Roman" w:hAnsi="Times New Roman" w:cs="Times New Roman"/>
          <w:sz w:val="28"/>
          <w:szCs w:val="28"/>
          <w:lang w:val="fr-FR"/>
        </w:rPr>
        <w:footnoteReference w:id="1"/>
      </w:r>
      <w:r w:rsidR="00B71E3B" w:rsidRPr="004A1317">
        <w:rPr>
          <w:rFonts w:ascii="Times New Roman" w:hAnsi="Times New Roman" w:cs="Times New Roman"/>
          <w:sz w:val="28"/>
          <w:szCs w:val="28"/>
          <w:lang w:val="fr-FR"/>
        </w:rPr>
        <w:t>). Cette méthode est utilisée aux Émirats arabes unis et en Jordanie sur 86,3% et 81,2% de leur superficie irriguée respectivement. De même, la Tunisie, le Koweït et le Bénin utilisent cette méthode sur 16,9%, 13,4% et 12,4% de leurs terres irriguées respectivement. De leur côté, Bahreïn et le Qatar ont introduit cette méthode d'irrigation localisée sur 11,6% et 10,9% des terres sont préparées pour l'irrigation. Cependant, 34 pays de l'OCI ont enregistré moins de 0,1% de cette technique</w:t>
      </w:r>
      <w:r w:rsidR="00B911C2" w:rsidRPr="004A1317">
        <w:rPr>
          <w:rFonts w:ascii="Times New Roman" w:hAnsi="Times New Roman" w:cs="Times New Roman"/>
          <w:sz w:val="28"/>
          <w:szCs w:val="28"/>
          <w:lang w:val="fr-FR"/>
        </w:rPr>
        <w:t>.</w:t>
      </w:r>
    </w:p>
    <w:p w14:paraId="70D6EEFF" w14:textId="77777777" w:rsidR="004A1317" w:rsidRDefault="004A1317" w:rsidP="004A1317">
      <w:pPr>
        <w:spacing w:after="0" w:line="240" w:lineRule="auto"/>
        <w:jc w:val="both"/>
        <w:rPr>
          <w:rFonts w:ascii="Times New Roman" w:hAnsi="Times New Roman" w:cs="Times New Roman"/>
          <w:sz w:val="28"/>
          <w:szCs w:val="28"/>
          <w:lang w:val="fr-FR"/>
        </w:rPr>
      </w:pPr>
    </w:p>
    <w:p w14:paraId="16158252" w14:textId="1AC78744" w:rsidR="004A1317" w:rsidRPr="004A1317" w:rsidRDefault="004A1317" w:rsidP="004A1317">
      <w:pPr>
        <w:spacing w:after="0" w:line="240" w:lineRule="auto"/>
        <w:jc w:val="both"/>
        <w:rPr>
          <w:rFonts w:ascii="Times New Roman" w:hAnsi="Times New Roman" w:cs="Times New Roman"/>
          <w:b/>
          <w:sz w:val="28"/>
          <w:szCs w:val="28"/>
          <w:lang w:val="fr-FR"/>
        </w:rPr>
      </w:pPr>
      <w:r w:rsidRPr="004A1317">
        <w:rPr>
          <w:rFonts w:ascii="Times New Roman" w:hAnsi="Times New Roman" w:cs="Times New Roman"/>
          <w:b/>
          <w:sz w:val="28"/>
          <w:szCs w:val="28"/>
          <w:lang w:val="fr-FR"/>
        </w:rPr>
        <w:t xml:space="preserve">Figure </w:t>
      </w:r>
      <w:r>
        <w:rPr>
          <w:rFonts w:ascii="Times New Roman" w:hAnsi="Times New Roman" w:cs="Times New Roman"/>
          <w:b/>
          <w:sz w:val="28"/>
          <w:szCs w:val="28"/>
          <w:lang w:val="fr-FR"/>
        </w:rPr>
        <w:t>3.</w:t>
      </w:r>
      <w:r w:rsidRPr="004A1317">
        <w:rPr>
          <w:rFonts w:ascii="Times New Roman" w:hAnsi="Times New Roman" w:cs="Times New Roman"/>
          <w:b/>
          <w:sz w:val="28"/>
          <w:szCs w:val="28"/>
          <w:lang w:val="fr-FR"/>
        </w:rPr>
        <w:t xml:space="preserve"> Pénurie d’eau (Ressources en eau naturelles renouvelables par habitant) dans les régions de l’OCI, 2013-2017</w:t>
      </w:r>
    </w:p>
    <w:p w14:paraId="0C1807AA" w14:textId="10EAB89D" w:rsidR="009046C1" w:rsidRPr="004A1317" w:rsidRDefault="009046C1"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noProof/>
          <w:sz w:val="28"/>
          <w:szCs w:val="28"/>
        </w:rPr>
        <w:drawing>
          <wp:inline distT="0" distB="0" distL="0" distR="0" wp14:anchorId="17B906D3" wp14:editId="30479170">
            <wp:extent cx="5007935" cy="3324666"/>
            <wp:effectExtent l="0" t="0" r="254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3666" cy="3335109"/>
                    </a:xfrm>
                    <a:prstGeom prst="rect">
                      <a:avLst/>
                    </a:prstGeom>
                  </pic:spPr>
                </pic:pic>
              </a:graphicData>
            </a:graphic>
          </wp:inline>
        </w:drawing>
      </w:r>
    </w:p>
    <w:p w14:paraId="12251B1D" w14:textId="77DD5A1D" w:rsidR="00B464C8" w:rsidRPr="004A1317" w:rsidRDefault="00B71E3B" w:rsidP="004A1317">
      <w:pPr>
        <w:spacing w:before="240" w:after="0" w:line="240" w:lineRule="auto"/>
        <w:jc w:val="both"/>
        <w:rPr>
          <w:rFonts w:ascii="Times New Roman" w:hAnsi="Times New Roman" w:cs="Times New Roman"/>
          <w:b/>
          <w:sz w:val="28"/>
          <w:szCs w:val="28"/>
          <w:lang w:val="fr-FR"/>
        </w:rPr>
      </w:pPr>
      <w:bookmarkStart w:id="2" w:name="_Hlk53609970"/>
      <w:r w:rsidRPr="004A1317">
        <w:rPr>
          <w:rFonts w:ascii="Times New Roman" w:hAnsi="Times New Roman" w:cs="Times New Roman"/>
          <w:b/>
          <w:sz w:val="28"/>
          <w:szCs w:val="28"/>
          <w:lang w:val="fr-FR"/>
        </w:rPr>
        <w:t>Salinisation et réutilisation de l'eau</w:t>
      </w:r>
      <w:bookmarkEnd w:id="2"/>
    </w:p>
    <w:p w14:paraId="655585C1" w14:textId="726B7EF6" w:rsidR="0051655A" w:rsidRPr="004A1317" w:rsidRDefault="0051655A"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13.</w:t>
      </w:r>
      <w:r w:rsidRPr="004A1317">
        <w:rPr>
          <w:rFonts w:ascii="Times New Roman" w:hAnsi="Times New Roman" w:cs="Times New Roman"/>
          <w:sz w:val="28"/>
          <w:szCs w:val="28"/>
          <w:lang w:val="fr-FR"/>
        </w:rPr>
        <w:tab/>
      </w:r>
      <w:r w:rsidR="00B71E3B" w:rsidRPr="004A1317">
        <w:rPr>
          <w:rFonts w:ascii="Times New Roman" w:hAnsi="Times New Roman" w:cs="Times New Roman"/>
          <w:sz w:val="28"/>
          <w:szCs w:val="28"/>
          <w:lang w:val="fr-FR"/>
        </w:rPr>
        <w:t xml:space="preserve">La salinisation accrue du sol et de l'eau est considérée comme l'une des principales menaces de stress abiotique à la productivité agricole dans les pays de l'OCI, en particulier dans la région de l'Asie Occidentale et de l'Afrique du Nord (WANA). On estime que 50% des terres arables mondiales seront sous l'effet de la salinité d'ici 2050. La croissance des cultures dans les terres salinisées produit des feuilles plus petites et une stature plus courte, entraînant ainsi une perte de rendement économique. De même, l'irrigation est considérée comme un acteur majeur de la salinité. Par conséquent, l'application de pratiques </w:t>
      </w:r>
      <w:r w:rsidR="00B71E3B" w:rsidRPr="004A1317">
        <w:rPr>
          <w:rFonts w:ascii="Times New Roman" w:hAnsi="Times New Roman" w:cs="Times New Roman"/>
          <w:sz w:val="28"/>
          <w:szCs w:val="28"/>
          <w:lang w:val="fr-FR"/>
        </w:rPr>
        <w:lastRenderedPageBreak/>
        <w:t>d'irrigation traditionnelles telles que l'irrigation par inondation et l'irrigation des crêtes peut entraîner une augmentation rapide de l'eau souterraine et une accumulation de sel à la surface du sol. Afin de surmonter le problème de salinisation, des procédures intégrées sont recommandées, telles que l'utilisation de variétés de cultures tolérantes au sel capables d'améliorer le rendement des cultures et de diminuer la perte de rendement globale. Il est également nécessaire d'adopter de bonnes pratiques d'irrigation avec des méthodes d'irrigation appropriées, telles que l'égouttement et le sous-sol, visant à améliorer l'efficacité de l'eau et à gérer la salinité de la zone racinaire. D'une manière générale, la désalinisation reste l'une des solutions de base pour la réutilisation et le recyclage de l'eau</w:t>
      </w:r>
      <w:r w:rsidRPr="004A1317">
        <w:rPr>
          <w:rFonts w:ascii="Times New Roman" w:hAnsi="Times New Roman" w:cs="Times New Roman"/>
          <w:sz w:val="28"/>
          <w:szCs w:val="28"/>
          <w:lang w:val="fr-FR"/>
        </w:rPr>
        <w:t>.</w:t>
      </w:r>
    </w:p>
    <w:p w14:paraId="0846B6A3" w14:textId="4F396725" w:rsidR="00B911C2" w:rsidRPr="004A1317" w:rsidRDefault="00B71E3B" w:rsidP="004A1317">
      <w:pPr>
        <w:spacing w:before="240" w:after="0" w:line="240" w:lineRule="auto"/>
        <w:jc w:val="both"/>
        <w:rPr>
          <w:rFonts w:ascii="Times New Roman" w:hAnsi="Times New Roman" w:cs="Times New Roman"/>
          <w:b/>
          <w:sz w:val="28"/>
          <w:szCs w:val="28"/>
          <w:lang w:val="fr-FR"/>
        </w:rPr>
      </w:pPr>
      <w:r w:rsidRPr="004A1317">
        <w:rPr>
          <w:rFonts w:ascii="Times New Roman" w:hAnsi="Times New Roman" w:cs="Times New Roman"/>
          <w:b/>
          <w:sz w:val="28"/>
          <w:szCs w:val="28"/>
          <w:lang w:val="fr-FR"/>
        </w:rPr>
        <w:t>Coordination et approche intégrée</w:t>
      </w:r>
      <w:r w:rsidR="00B911C2" w:rsidRPr="004A1317">
        <w:rPr>
          <w:rFonts w:ascii="Times New Roman" w:hAnsi="Times New Roman" w:cs="Times New Roman"/>
          <w:b/>
          <w:sz w:val="28"/>
          <w:szCs w:val="28"/>
          <w:lang w:val="fr-FR"/>
        </w:rPr>
        <w:t xml:space="preserve"> </w:t>
      </w:r>
    </w:p>
    <w:p w14:paraId="3046EFB2" w14:textId="49912D24" w:rsidR="00130CA1" w:rsidRP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w:t>
      </w:r>
      <w:r w:rsidR="0051655A" w:rsidRPr="004A1317">
        <w:rPr>
          <w:rFonts w:ascii="Times New Roman" w:hAnsi="Times New Roman" w:cs="Times New Roman"/>
          <w:sz w:val="28"/>
          <w:szCs w:val="28"/>
          <w:lang w:val="fr-FR"/>
        </w:rPr>
        <w:t>4</w:t>
      </w:r>
      <w:r w:rsidRPr="004A1317">
        <w:rPr>
          <w:rFonts w:ascii="Times New Roman" w:hAnsi="Times New Roman" w:cs="Times New Roman"/>
          <w:sz w:val="28"/>
          <w:szCs w:val="28"/>
          <w:lang w:val="fr-FR"/>
        </w:rPr>
        <w:t>.</w:t>
      </w:r>
      <w:r w:rsidRPr="004A1317">
        <w:rPr>
          <w:rFonts w:ascii="Times New Roman" w:hAnsi="Times New Roman" w:cs="Times New Roman"/>
          <w:sz w:val="28"/>
          <w:szCs w:val="28"/>
          <w:lang w:val="fr-FR"/>
        </w:rPr>
        <w:tab/>
      </w:r>
      <w:r w:rsidR="00B71E3B" w:rsidRPr="004A1317">
        <w:rPr>
          <w:rFonts w:ascii="Times New Roman" w:hAnsi="Times New Roman" w:cs="Times New Roman"/>
          <w:sz w:val="28"/>
          <w:szCs w:val="28"/>
          <w:lang w:val="fr-FR"/>
        </w:rPr>
        <w:t>L'utilisation de l'eau est intersectorielle en raison de sa demande la plus large à des fins domestiques, de modes de vie et de subsistance sains, de l'assainissement, de l'alimentation et de la nutrition, de l'agriculture et du développement rural, de l'énergie et du bien-être social. C'est également un sujet de coopération et de diplomatie internationales, compte tenu de l'apport crucial des eaux transfrontières. À cette fin, les différents départements d'un état sont tenus de coordonner les politiques et les actions visant à relever les défis de la rareté de l'eau et de l'utilisation durable des ressources en eau compte tenu des besoins concurrents de cette ressource rare. Des données à jour doivent être disponibles pour assurer une bonne planification, étant donné que la gestion de l'eau pour l'agriculture peut évincer d'autres besoins tels que l'accès à une bonne eau potable et à l'assainissement, la fourniture d'énergie. La disponibilité de données appropriées sur la dépendance à l'eau, les technologies modernes d'utilisation (y compris la réutilisation) et la conservation de l'eau et une coordination régulière entre les différents acteurs, y compris les segments des jeunes et des femmes ainsi que les communautés rurales, assureraient une planification, un financement et une gestion judicieux de l'eau. utilisation. À cet égard, les stratégies nationales peuvent comprendre des réponses, des actions et des programmes inclusifs, intégrés et bien coordonnés</w:t>
      </w:r>
      <w:r w:rsidR="002A274F" w:rsidRPr="004A1317">
        <w:rPr>
          <w:rFonts w:ascii="Times New Roman" w:hAnsi="Times New Roman" w:cs="Times New Roman"/>
          <w:sz w:val="28"/>
          <w:szCs w:val="28"/>
          <w:lang w:val="fr-FR"/>
        </w:rPr>
        <w:t>.</w:t>
      </w:r>
      <w:r w:rsidR="00F30905" w:rsidRPr="004A1317">
        <w:rPr>
          <w:rFonts w:ascii="Times New Roman" w:hAnsi="Times New Roman" w:cs="Times New Roman"/>
          <w:sz w:val="28"/>
          <w:szCs w:val="28"/>
          <w:lang w:val="fr-FR"/>
        </w:rPr>
        <w:t xml:space="preserve"> </w:t>
      </w:r>
    </w:p>
    <w:p w14:paraId="2FE9F32D" w14:textId="29574ABF" w:rsidR="00CA18E4" w:rsidRP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w:t>
      </w:r>
      <w:r w:rsidR="0051655A" w:rsidRPr="004A1317">
        <w:rPr>
          <w:rFonts w:ascii="Times New Roman" w:hAnsi="Times New Roman" w:cs="Times New Roman"/>
          <w:sz w:val="28"/>
          <w:szCs w:val="28"/>
          <w:lang w:val="fr-FR"/>
        </w:rPr>
        <w:t>5</w:t>
      </w:r>
      <w:r w:rsidRPr="004A1317">
        <w:rPr>
          <w:rFonts w:ascii="Times New Roman" w:hAnsi="Times New Roman" w:cs="Times New Roman"/>
          <w:sz w:val="28"/>
          <w:szCs w:val="28"/>
          <w:lang w:val="fr-FR"/>
        </w:rPr>
        <w:t>.</w:t>
      </w:r>
      <w:r w:rsidRPr="004A1317">
        <w:rPr>
          <w:rFonts w:ascii="Times New Roman" w:hAnsi="Times New Roman" w:cs="Times New Roman"/>
          <w:sz w:val="28"/>
          <w:szCs w:val="28"/>
          <w:lang w:val="fr-FR"/>
        </w:rPr>
        <w:tab/>
      </w:r>
      <w:r w:rsidR="00B71E3B" w:rsidRPr="004A1317">
        <w:rPr>
          <w:rFonts w:ascii="Times New Roman" w:hAnsi="Times New Roman" w:cs="Times New Roman"/>
          <w:sz w:val="28"/>
          <w:szCs w:val="28"/>
          <w:lang w:val="fr-FR"/>
        </w:rPr>
        <w:t>Sur la scène internationale, les questions relatives aux projets d'infrastructures hydrauliques transfrontalières devraient recevoir l'attention collective de l'OCI et de l'OISA. À cet égard, le rôle des diverses agences nationales de financement et de coordination du développement ainsi que des institutions de l'OCI est très crucial dans le financement des grands projets de gestion de l'eau. Plus important encore, la Banque Islamique de Développement et les membres de son groupe peuvent jouer un plus grand rôle dans les projets relatif à la gestion de l'eau, qui sont généralement à forte intensité de capital. En outre, la participation des agences de financement mondiales et des institutions de financement régionales est cruciale à cet égard. Par exemple, le projet Trans-aqua sur la recharge de l'eau du lac Tchad nécessite une collaboration approfondie avec des partenaires de développement internationaux, dont le Gouvernement de l'Italie</w:t>
      </w:r>
      <w:r w:rsidR="001A3A52" w:rsidRPr="004A1317">
        <w:rPr>
          <w:rFonts w:ascii="Times New Roman" w:hAnsi="Times New Roman" w:cs="Times New Roman"/>
          <w:sz w:val="28"/>
          <w:szCs w:val="28"/>
          <w:lang w:val="fr-FR"/>
        </w:rPr>
        <w:t xml:space="preserve">. </w:t>
      </w:r>
    </w:p>
    <w:p w14:paraId="230706B1" w14:textId="77777777" w:rsidR="00B71E3B" w:rsidRPr="004A1317" w:rsidRDefault="009336C1"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 xml:space="preserve"> </w:t>
      </w:r>
    </w:p>
    <w:p w14:paraId="06459858" w14:textId="68FF3E54" w:rsidR="009336C1" w:rsidRPr="004A1317" w:rsidRDefault="00B71E3B" w:rsidP="004A1317">
      <w:pPr>
        <w:spacing w:after="0" w:line="240" w:lineRule="auto"/>
        <w:jc w:val="both"/>
        <w:rPr>
          <w:rFonts w:ascii="Times New Roman" w:hAnsi="Times New Roman" w:cs="Times New Roman"/>
          <w:b/>
          <w:sz w:val="28"/>
          <w:szCs w:val="28"/>
          <w:lang w:val="fr-FR"/>
        </w:rPr>
      </w:pPr>
      <w:r w:rsidRPr="004A1317">
        <w:rPr>
          <w:rFonts w:ascii="Times New Roman" w:hAnsi="Times New Roman" w:cs="Times New Roman"/>
          <w:b/>
          <w:sz w:val="28"/>
          <w:szCs w:val="28"/>
          <w:lang w:val="fr-FR"/>
        </w:rPr>
        <w:t>Vision de l'eau de l'OCI</w:t>
      </w:r>
    </w:p>
    <w:p w14:paraId="7F08991E" w14:textId="2BF97295" w:rsidR="009336C1" w:rsidRP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lastRenderedPageBreak/>
        <w:t>1</w:t>
      </w:r>
      <w:r w:rsidR="0051655A" w:rsidRPr="004A1317">
        <w:rPr>
          <w:rFonts w:ascii="Times New Roman" w:hAnsi="Times New Roman" w:cs="Times New Roman"/>
          <w:sz w:val="28"/>
          <w:szCs w:val="28"/>
          <w:lang w:val="fr-FR"/>
        </w:rPr>
        <w:t>6</w:t>
      </w:r>
      <w:r w:rsidRPr="004A1317">
        <w:rPr>
          <w:rFonts w:ascii="Times New Roman" w:hAnsi="Times New Roman" w:cs="Times New Roman"/>
          <w:sz w:val="28"/>
          <w:szCs w:val="28"/>
          <w:lang w:val="fr-FR"/>
        </w:rPr>
        <w:t>.</w:t>
      </w:r>
      <w:r w:rsidRPr="004A1317">
        <w:rPr>
          <w:rFonts w:ascii="Times New Roman" w:hAnsi="Times New Roman" w:cs="Times New Roman"/>
          <w:sz w:val="28"/>
          <w:szCs w:val="28"/>
          <w:lang w:val="fr-FR"/>
        </w:rPr>
        <w:tab/>
      </w:r>
      <w:r w:rsidR="00B71E3B" w:rsidRPr="004A1317">
        <w:rPr>
          <w:rFonts w:ascii="Times New Roman" w:hAnsi="Times New Roman" w:cs="Times New Roman"/>
          <w:sz w:val="28"/>
          <w:szCs w:val="28"/>
          <w:lang w:val="fr-FR"/>
        </w:rPr>
        <w:t>En vertu de ce qui précède, l'OCI a adopté la Vision de l'eau de l'OCI le 6 mars 2012 dans le but de promouvoir l'accès à l'eau potable et à la sécurité en eau d'assainissement et de relever les défis liés à l'eau, l'accès à l'eau pour la santé et les moyens de subsistance et la production agroalimentaire, et la gestion des risques imprévisibles liés à l'eau, l'épuisement des ressources et la dégradation de l'environnement. Il cherche également à maximiser l'utilisation productive de l'eau, tout en minimisant ses impacts perturbateurs. Basés sur un thème: «Travailler ensemble pour un avenir sûr en matière d'eau », les principaux piliers de la Vision de l'eau de l'OCI comprennent un aperçu des divers environnements aquatiques; lien entre l'eau et l'élimination de la pauvreté, l'agriculture et la sécurité alimentaire, les droits de l'homme et l'assainissement, les dimensions des défis liés à l'eau et la coopération entre les États membres sur les questions et opportunités liées à l'eau. Il comprend également une feuille de route pour la coopération, un plan de travail pour le partage des connaissances et des expériences et le développement des capacités et le transfert de technologie, la gouvernance de l'eau et les réformes institutionnelles, ainsi que la coordination et les synergies avec les initiatives et programmes internationaux en cours relatifs à l'eau</w:t>
      </w:r>
      <w:r w:rsidR="00A400A0" w:rsidRPr="004A1317">
        <w:rPr>
          <w:rFonts w:ascii="Times New Roman" w:hAnsi="Times New Roman" w:cs="Times New Roman"/>
          <w:sz w:val="28"/>
          <w:szCs w:val="28"/>
          <w:lang w:val="fr-FR"/>
        </w:rPr>
        <w:t>.</w:t>
      </w:r>
    </w:p>
    <w:p w14:paraId="1896E8DE" w14:textId="77777777" w:rsid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w:t>
      </w:r>
      <w:r w:rsidR="0051655A" w:rsidRPr="004A1317">
        <w:rPr>
          <w:rFonts w:ascii="Times New Roman" w:hAnsi="Times New Roman" w:cs="Times New Roman"/>
          <w:sz w:val="28"/>
          <w:szCs w:val="28"/>
          <w:lang w:val="fr-FR"/>
        </w:rPr>
        <w:t>7</w:t>
      </w:r>
      <w:r w:rsidRPr="004A1317">
        <w:rPr>
          <w:rFonts w:ascii="Times New Roman" w:hAnsi="Times New Roman" w:cs="Times New Roman"/>
          <w:sz w:val="28"/>
          <w:szCs w:val="28"/>
          <w:lang w:val="fr-FR"/>
        </w:rPr>
        <w:t>.</w:t>
      </w:r>
      <w:r w:rsidRPr="004A1317">
        <w:rPr>
          <w:rFonts w:ascii="Times New Roman" w:hAnsi="Times New Roman" w:cs="Times New Roman"/>
          <w:sz w:val="28"/>
          <w:szCs w:val="28"/>
          <w:lang w:val="fr-FR"/>
        </w:rPr>
        <w:tab/>
      </w:r>
      <w:r w:rsidR="00B71E3B" w:rsidRPr="004A1317">
        <w:rPr>
          <w:rFonts w:ascii="Times New Roman" w:hAnsi="Times New Roman" w:cs="Times New Roman"/>
          <w:sz w:val="28"/>
          <w:szCs w:val="28"/>
          <w:lang w:val="fr-FR"/>
        </w:rPr>
        <w:t>De même, la Vision de l'OCI sur l'eau souligne la nécessité de favoriser le consensus et de promouvoir des solutions qui refléteraient les programmes nationaux des États membres ainsi que les programmes et interventions conjoints de l'OCI et d'autres institutions régionales et mondiales. La vision est également ancrée sur l'unité de foi (doctrine islamique) dans la lutte contre la diversité ethnique, l'unité, la solidarité, la fraternité, l'intérêt commun et l'action islamique commune</w:t>
      </w:r>
      <w:r w:rsidR="00630A55" w:rsidRPr="004A1317">
        <w:rPr>
          <w:rFonts w:ascii="Times New Roman" w:hAnsi="Times New Roman" w:cs="Times New Roman"/>
          <w:sz w:val="28"/>
          <w:szCs w:val="28"/>
          <w:lang w:val="fr-FR"/>
        </w:rPr>
        <w:t>.</w:t>
      </w:r>
    </w:p>
    <w:p w14:paraId="5BEE0E59" w14:textId="730B6E64" w:rsidR="00630A55" w:rsidRPr="004A1317" w:rsidRDefault="00B71E3B" w:rsidP="004A1317">
      <w:pPr>
        <w:spacing w:after="0" w:line="240" w:lineRule="auto"/>
        <w:jc w:val="both"/>
        <w:rPr>
          <w:rFonts w:ascii="Times New Roman" w:hAnsi="Times New Roman" w:cs="Times New Roman"/>
          <w:b/>
          <w:sz w:val="28"/>
          <w:szCs w:val="28"/>
          <w:lang w:val="fr-FR"/>
        </w:rPr>
      </w:pPr>
      <w:r w:rsidRPr="004A1317">
        <w:rPr>
          <w:rFonts w:ascii="Times New Roman" w:hAnsi="Times New Roman" w:cs="Times New Roman"/>
          <w:b/>
          <w:sz w:val="28"/>
          <w:szCs w:val="28"/>
          <w:lang w:val="fr-FR"/>
        </w:rPr>
        <w:t xml:space="preserve">Implication des institutions de l'OCI dans les activités </w:t>
      </w:r>
      <w:r w:rsidR="009046C1" w:rsidRPr="004A1317">
        <w:rPr>
          <w:rFonts w:ascii="Times New Roman" w:hAnsi="Times New Roman" w:cs="Times New Roman"/>
          <w:b/>
          <w:sz w:val="28"/>
          <w:szCs w:val="28"/>
          <w:lang w:val="fr-FR"/>
        </w:rPr>
        <w:t>relatives à l'eau</w:t>
      </w:r>
    </w:p>
    <w:p w14:paraId="27C1C384" w14:textId="3A843FE5" w:rsidR="009D3AA3" w:rsidRPr="004A1317"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w:t>
      </w:r>
      <w:r w:rsidR="0051655A" w:rsidRPr="004A1317">
        <w:rPr>
          <w:rFonts w:ascii="Times New Roman" w:hAnsi="Times New Roman" w:cs="Times New Roman"/>
          <w:sz w:val="28"/>
          <w:szCs w:val="28"/>
          <w:lang w:val="fr-FR"/>
        </w:rPr>
        <w:t>8</w:t>
      </w:r>
      <w:r w:rsidRPr="004A1317">
        <w:rPr>
          <w:rFonts w:ascii="Times New Roman" w:hAnsi="Times New Roman" w:cs="Times New Roman"/>
          <w:sz w:val="28"/>
          <w:szCs w:val="28"/>
          <w:lang w:val="fr-FR"/>
        </w:rPr>
        <w:t>.</w:t>
      </w:r>
      <w:r w:rsidRPr="004A1317">
        <w:rPr>
          <w:rFonts w:ascii="Times New Roman" w:hAnsi="Times New Roman" w:cs="Times New Roman"/>
          <w:sz w:val="28"/>
          <w:szCs w:val="28"/>
          <w:lang w:val="fr-FR"/>
        </w:rPr>
        <w:tab/>
      </w:r>
      <w:r w:rsidR="009046C1" w:rsidRPr="004A1317">
        <w:rPr>
          <w:rFonts w:ascii="Times New Roman" w:hAnsi="Times New Roman" w:cs="Times New Roman"/>
          <w:sz w:val="28"/>
          <w:szCs w:val="28"/>
          <w:lang w:val="fr-FR"/>
        </w:rPr>
        <w:t>Des efforts ont également été déployés pour une collaboration interinstitutions sur les questions liées à l'eau. L'adoption de la Vision de l'OCI sur l'eau et la Conférence biennale de l'OCI des ministres responsables de l'eau ont stimulé des actions considérables de la part de plusieurs institutions de l'OCI. Alors que le Groupe consultatif sur la vision de l'eau de l'OCI comprenait le COMSTECH, la BIsD, l'ISESCO et le Réseau inter-islamique pour le développement et la gestion des ressources en eau (INWRDAM), le Secrétariat Général de l'OCI a continué de coordonner la mise en œuvre de la vision de l'eau conformément à son rôle statutaire. De son côté, la BIsD a continué de donner la priorité au financement des infrastructures liées à l'eau dans de nombreux États membres de l'OCI</w:t>
      </w:r>
      <w:r w:rsidR="00B91613" w:rsidRPr="004A1317">
        <w:rPr>
          <w:rFonts w:ascii="Times New Roman" w:hAnsi="Times New Roman" w:cs="Times New Roman"/>
          <w:sz w:val="28"/>
          <w:szCs w:val="28"/>
          <w:lang w:val="fr-FR"/>
        </w:rPr>
        <w:t>.</w:t>
      </w:r>
    </w:p>
    <w:p w14:paraId="09D18E50" w14:textId="21738438" w:rsidR="006F559D" w:rsidRDefault="00FE0C13" w:rsidP="004A1317">
      <w:pPr>
        <w:spacing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1</w:t>
      </w:r>
      <w:r w:rsidR="0051655A" w:rsidRPr="004A1317">
        <w:rPr>
          <w:rFonts w:ascii="Times New Roman" w:hAnsi="Times New Roman" w:cs="Times New Roman"/>
          <w:sz w:val="28"/>
          <w:szCs w:val="28"/>
          <w:lang w:val="fr-FR"/>
        </w:rPr>
        <w:t>9</w:t>
      </w:r>
      <w:r w:rsidRPr="004A1317">
        <w:rPr>
          <w:rFonts w:ascii="Times New Roman" w:hAnsi="Times New Roman" w:cs="Times New Roman"/>
          <w:sz w:val="28"/>
          <w:szCs w:val="28"/>
          <w:lang w:val="fr-FR"/>
        </w:rPr>
        <w:t>.</w:t>
      </w:r>
      <w:r w:rsidRPr="004A1317">
        <w:rPr>
          <w:rFonts w:ascii="Times New Roman" w:hAnsi="Times New Roman" w:cs="Times New Roman"/>
          <w:sz w:val="28"/>
          <w:szCs w:val="28"/>
          <w:lang w:val="fr-FR"/>
        </w:rPr>
        <w:tab/>
      </w:r>
      <w:r w:rsidR="009046C1" w:rsidRPr="004A1317">
        <w:rPr>
          <w:rFonts w:ascii="Times New Roman" w:hAnsi="Times New Roman" w:cs="Times New Roman"/>
          <w:sz w:val="28"/>
          <w:szCs w:val="28"/>
          <w:lang w:val="fr-FR"/>
        </w:rPr>
        <w:t>Avec l'avènement de l'Organisation Islamique pour la Sécurité Alimentaire (OISA) et compte tenu de son rôle statutaire de coordination des questions de sécurité alimentaire, la coordination de la mise en œuvre des conclusions de l'atelier proposé reviendrait à cette nouvelle institution spécialisée de l'OCI pour l'agriculture, le développement rural et la sécurité alimentaire</w:t>
      </w:r>
      <w:r w:rsidR="009D3AA3" w:rsidRPr="004A1317">
        <w:rPr>
          <w:rFonts w:ascii="Times New Roman" w:hAnsi="Times New Roman" w:cs="Times New Roman"/>
          <w:sz w:val="28"/>
          <w:szCs w:val="28"/>
          <w:lang w:val="fr-FR"/>
        </w:rPr>
        <w:t xml:space="preserve">. </w:t>
      </w:r>
    </w:p>
    <w:p w14:paraId="67A40E84" w14:textId="28D5D2DB" w:rsidR="007C729A" w:rsidRDefault="007C729A" w:rsidP="004A1317">
      <w:pPr>
        <w:spacing w:line="240" w:lineRule="auto"/>
        <w:jc w:val="both"/>
        <w:rPr>
          <w:rFonts w:ascii="Times New Roman" w:hAnsi="Times New Roman" w:cs="Times New Roman"/>
          <w:sz w:val="28"/>
          <w:szCs w:val="28"/>
          <w:lang w:val="fr-FR"/>
        </w:rPr>
      </w:pPr>
    </w:p>
    <w:p w14:paraId="6FD09F20" w14:textId="1F470199" w:rsidR="00CA18E4" w:rsidRPr="004A1317" w:rsidRDefault="009046C1" w:rsidP="004A1317">
      <w:pPr>
        <w:spacing w:after="0" w:line="240" w:lineRule="auto"/>
        <w:jc w:val="both"/>
        <w:rPr>
          <w:rFonts w:ascii="Times New Roman" w:hAnsi="Times New Roman" w:cs="Times New Roman"/>
          <w:b/>
          <w:bCs/>
          <w:sz w:val="28"/>
          <w:szCs w:val="28"/>
          <w:lang w:val="fr-FR"/>
        </w:rPr>
      </w:pPr>
      <w:r w:rsidRPr="004A1317">
        <w:rPr>
          <w:rFonts w:ascii="Times New Roman" w:hAnsi="Times New Roman" w:cs="Times New Roman"/>
          <w:b/>
          <w:bCs/>
          <w:sz w:val="28"/>
          <w:szCs w:val="28"/>
          <w:lang w:val="fr-FR"/>
        </w:rPr>
        <w:lastRenderedPageBreak/>
        <w:t>Mécanisme de mise en œuvre</w:t>
      </w:r>
      <w:r w:rsidR="00CA18E4" w:rsidRPr="004A1317">
        <w:rPr>
          <w:rFonts w:ascii="Times New Roman" w:hAnsi="Times New Roman" w:cs="Times New Roman"/>
          <w:b/>
          <w:bCs/>
          <w:sz w:val="28"/>
          <w:szCs w:val="28"/>
          <w:rtl/>
        </w:rPr>
        <w:t xml:space="preserve"> </w:t>
      </w:r>
    </w:p>
    <w:p w14:paraId="458386EB" w14:textId="129A351B" w:rsidR="00CA18E4" w:rsidRPr="004A1317" w:rsidRDefault="009046C1" w:rsidP="004A1317">
      <w:pPr>
        <w:spacing w:after="0" w:line="240" w:lineRule="auto"/>
        <w:jc w:val="both"/>
        <w:rPr>
          <w:rFonts w:ascii="Times New Roman" w:hAnsi="Times New Roman" w:cs="Times New Roman"/>
          <w:sz w:val="28"/>
          <w:szCs w:val="28"/>
          <w:rtl/>
        </w:rPr>
      </w:pPr>
      <w:r w:rsidRPr="004A1317">
        <w:rPr>
          <w:rFonts w:ascii="Times New Roman" w:hAnsi="Times New Roman" w:cs="Times New Roman"/>
          <w:sz w:val="28"/>
          <w:szCs w:val="28"/>
          <w:lang w:val="fr-FR"/>
        </w:rPr>
        <w:t>La mise en œuvre du plan de l'OISA de gestion de l'eau dans l'agriculture sera accompli à travers les actions suivantes</w:t>
      </w:r>
      <w:r w:rsidR="00CA18E4" w:rsidRPr="004A1317">
        <w:rPr>
          <w:rFonts w:ascii="Times New Roman" w:hAnsi="Times New Roman" w:cs="Times New Roman"/>
          <w:sz w:val="28"/>
          <w:szCs w:val="28"/>
          <w:lang w:val="fr-FR"/>
        </w:rPr>
        <w:t>:</w:t>
      </w:r>
    </w:p>
    <w:p w14:paraId="1F1F9518" w14:textId="77777777" w:rsidR="009046C1"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Soutien l'établissement de partenariats entre les institutions de l'OCI</w:t>
      </w:r>
    </w:p>
    <w:p w14:paraId="19A7760A" w14:textId="77777777" w:rsidR="009046C1"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Organisation d'ateliers sur la gestion de l'eau en agriculture.</w:t>
      </w:r>
    </w:p>
    <w:p w14:paraId="5D4AA27E" w14:textId="48681993" w:rsidR="00C378DB"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Table ronde préparatoire se tiendrait au niveau des experts de tous les Etats membres de l'OCI</w:t>
      </w:r>
    </w:p>
    <w:p w14:paraId="791B24AA" w14:textId="5AAB9B41" w:rsidR="00CA18E4" w:rsidRPr="004A1317" w:rsidRDefault="009046C1" w:rsidP="004A1317">
      <w:pPr>
        <w:spacing w:before="240" w:after="0" w:line="240" w:lineRule="auto"/>
        <w:jc w:val="both"/>
        <w:rPr>
          <w:rFonts w:ascii="Times New Roman" w:hAnsi="Times New Roman" w:cs="Times New Roman"/>
          <w:sz w:val="28"/>
          <w:szCs w:val="28"/>
          <w:rtl/>
        </w:rPr>
      </w:pPr>
      <w:r w:rsidRPr="004A1317">
        <w:rPr>
          <w:rFonts w:ascii="Times New Roman" w:hAnsi="Times New Roman" w:cs="Times New Roman"/>
          <w:b/>
          <w:bCs/>
          <w:sz w:val="28"/>
          <w:szCs w:val="28"/>
          <w:lang w:val="fr-FR"/>
        </w:rPr>
        <w:t>Objectifs et justifications</w:t>
      </w:r>
      <w:r w:rsidR="0029014B" w:rsidRPr="004A1317">
        <w:rPr>
          <w:rFonts w:ascii="Times New Roman" w:hAnsi="Times New Roman" w:cs="Times New Roman"/>
          <w:sz w:val="28"/>
          <w:szCs w:val="28"/>
          <w:lang w:val="fr-FR"/>
        </w:rPr>
        <w:t>:</w:t>
      </w:r>
      <w:r w:rsidR="00414BDA" w:rsidRPr="004A1317">
        <w:rPr>
          <w:rFonts w:ascii="Times New Roman" w:hAnsi="Times New Roman" w:cs="Times New Roman"/>
          <w:sz w:val="28"/>
          <w:szCs w:val="28"/>
          <w:lang w:val="fr-FR"/>
        </w:rPr>
        <w:t xml:space="preserve"> </w:t>
      </w:r>
    </w:p>
    <w:p w14:paraId="0C8D7130" w14:textId="7EF2FD3B" w:rsidR="0029014B" w:rsidRPr="004A1317" w:rsidRDefault="009046C1" w:rsidP="004A1317">
      <w:pPr>
        <w:spacing w:after="0" w:line="240" w:lineRule="auto"/>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Le plan viserait à atteindre les objectifs suivants, entre autres</w:t>
      </w:r>
      <w:r w:rsidR="00414BDA" w:rsidRPr="004A1317">
        <w:rPr>
          <w:rFonts w:ascii="Times New Roman" w:hAnsi="Times New Roman" w:cs="Times New Roman"/>
          <w:sz w:val="28"/>
          <w:szCs w:val="28"/>
          <w:lang w:val="fr-FR"/>
        </w:rPr>
        <w:t xml:space="preserve">: </w:t>
      </w:r>
    </w:p>
    <w:p w14:paraId="7F3C9F7C" w14:textId="77777777" w:rsidR="009046C1"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Promouvoir la sensibilisation parmi les États membres de l'OCI et échanger les meilleures pratiques sur la gestion de l'utilisation de l'eau pour le développement alimentaire et agricole ;</w:t>
      </w:r>
    </w:p>
    <w:p w14:paraId="53BF570D" w14:textId="77777777" w:rsidR="009046C1"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Intégrer la coopération intra-OCI pour des actions collectives et intégrées visant à lutter contre le stress hydrique chronique et le manque de technologies innovantes d'irrigation ;</w:t>
      </w:r>
    </w:p>
    <w:p w14:paraId="6E7B6310" w14:textId="77777777" w:rsidR="009046C1"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Approfondir l'échange de données pour améliorer la formulation des politiques, le suivi et la réglementation de l'efficacité de l'utilisation de l'eau tout au long de la chaîne de valeur du secteur alimentaire ;</w:t>
      </w:r>
    </w:p>
    <w:p w14:paraId="0E9458BF" w14:textId="77777777" w:rsidR="009046C1"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Harmoniser des activités des institutions compétentes de l'OCI et des agences multilatérales de financement du développement à l'appui des infrastructures et des investissements liés à l'eau ;</w:t>
      </w:r>
    </w:p>
    <w:p w14:paraId="6C1D5BA5" w14:textId="77777777" w:rsidR="009046C1"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Élargir la collaboration pour la mise en œuvre de la Vision de l'eau de l'OCI et des objectifs de développement durable, y compris le soutien d'autres mécanismes régionaux (tels que le CILSS, l'ICBA) pour l'efficacité de l'utilisation de l'eau dans le secteur agricole ;</w:t>
      </w:r>
    </w:p>
    <w:p w14:paraId="3D51B4FD" w14:textId="77777777" w:rsidR="009046C1" w:rsidRPr="004A1317" w:rsidRDefault="009046C1" w:rsidP="004A1317">
      <w:pPr>
        <w:pStyle w:val="a3"/>
        <w:numPr>
          <w:ilvl w:val="0"/>
          <w:numId w:val="3"/>
        </w:numPr>
        <w:spacing w:after="0" w:line="240" w:lineRule="auto"/>
        <w:ind w:left="630" w:hanging="630"/>
        <w:contextualSpacing w:val="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Promouvoir les activités des centres nationaux d'excellence et créer un réseau inter-OCI de centres d'excellence pour la recherche et la technologie dans le domaine de la gestion et de la régulation et de la conservation de l'eau pour l'alimentation et l'agriculture ; et</w:t>
      </w:r>
    </w:p>
    <w:p w14:paraId="6120F2CB" w14:textId="0299250E" w:rsidR="00062C10" w:rsidRPr="004A1317" w:rsidRDefault="009046C1" w:rsidP="004A1317">
      <w:pPr>
        <w:pStyle w:val="a3"/>
        <w:numPr>
          <w:ilvl w:val="0"/>
          <w:numId w:val="3"/>
        </w:numPr>
        <w:spacing w:after="0" w:line="240" w:lineRule="auto"/>
        <w:ind w:left="630" w:hanging="630"/>
        <w:jc w:val="both"/>
        <w:rPr>
          <w:rFonts w:ascii="Times New Roman" w:hAnsi="Times New Roman" w:cs="Times New Roman"/>
          <w:sz w:val="28"/>
          <w:szCs w:val="28"/>
          <w:lang w:val="fr-FR"/>
        </w:rPr>
      </w:pPr>
      <w:r w:rsidRPr="004A1317">
        <w:rPr>
          <w:rFonts w:ascii="Times New Roman" w:hAnsi="Times New Roman" w:cs="Times New Roman"/>
          <w:sz w:val="28"/>
          <w:szCs w:val="28"/>
          <w:lang w:val="fr-FR"/>
        </w:rPr>
        <w:t>Intégrer le rôle du secteur privé, de la communauté des investisseurs et des organisations de la société civile dans le soutien au financement de l'acquisition de technologies modernes de l'eau et plaidoyer pour la conservation et la gestion de l'eau au niveau social et communautaire</w:t>
      </w:r>
      <w:r w:rsidR="00583F2F" w:rsidRPr="004A1317">
        <w:rPr>
          <w:rFonts w:ascii="Times New Roman" w:hAnsi="Times New Roman" w:cs="Times New Roman"/>
          <w:sz w:val="28"/>
          <w:szCs w:val="28"/>
          <w:lang w:val="fr-FR"/>
        </w:rPr>
        <w:t>.</w:t>
      </w:r>
    </w:p>
    <w:p w14:paraId="56888EFA" w14:textId="34112C91" w:rsidR="00FE0C13" w:rsidRDefault="00FE0C13" w:rsidP="004A1317">
      <w:pPr>
        <w:spacing w:after="0" w:line="240" w:lineRule="auto"/>
        <w:jc w:val="both"/>
        <w:rPr>
          <w:rFonts w:ascii="Times New Roman" w:hAnsi="Times New Roman" w:cs="Times New Roman"/>
          <w:sz w:val="28"/>
          <w:szCs w:val="28"/>
          <w:lang w:val="fr-FR"/>
        </w:rPr>
      </w:pPr>
    </w:p>
    <w:p w14:paraId="11E7789E" w14:textId="77777777" w:rsidR="007C729A" w:rsidRPr="004A1317" w:rsidRDefault="007C729A" w:rsidP="004A1317">
      <w:pPr>
        <w:spacing w:after="0" w:line="240" w:lineRule="auto"/>
        <w:jc w:val="both"/>
        <w:rPr>
          <w:rFonts w:ascii="Times New Roman" w:hAnsi="Times New Roman" w:cs="Times New Roman"/>
          <w:sz w:val="28"/>
          <w:szCs w:val="28"/>
          <w:lang w:val="fr-FR"/>
        </w:rPr>
      </w:pPr>
    </w:p>
    <w:p w14:paraId="2F6A97D0" w14:textId="77777777" w:rsidR="009046C1" w:rsidRPr="004A1317" w:rsidRDefault="009046C1" w:rsidP="004A1317">
      <w:pPr>
        <w:spacing w:after="0" w:line="240" w:lineRule="auto"/>
        <w:jc w:val="both"/>
        <w:rPr>
          <w:rFonts w:ascii="Times New Roman" w:hAnsi="Times New Roman" w:cs="Times New Roman"/>
          <w:b/>
          <w:bCs/>
          <w:sz w:val="28"/>
          <w:szCs w:val="28"/>
          <w:lang w:val="fr-FR"/>
        </w:rPr>
      </w:pPr>
      <w:r w:rsidRPr="004A1317">
        <w:rPr>
          <w:rFonts w:ascii="Times New Roman" w:hAnsi="Times New Roman" w:cs="Times New Roman"/>
          <w:b/>
          <w:bCs/>
          <w:sz w:val="28"/>
          <w:szCs w:val="28"/>
          <w:lang w:val="fr-FR"/>
        </w:rPr>
        <w:t xml:space="preserve">Le Secrétariat, </w:t>
      </w:r>
    </w:p>
    <w:p w14:paraId="274ECCD9" w14:textId="77777777" w:rsidR="009046C1" w:rsidRPr="004A1317" w:rsidRDefault="009046C1" w:rsidP="004A1317">
      <w:pPr>
        <w:spacing w:after="0" w:line="240" w:lineRule="auto"/>
        <w:jc w:val="both"/>
        <w:rPr>
          <w:rFonts w:ascii="Times New Roman" w:hAnsi="Times New Roman" w:cs="Times New Roman"/>
          <w:b/>
          <w:bCs/>
          <w:sz w:val="28"/>
          <w:szCs w:val="28"/>
          <w:lang w:val="fr-FR"/>
        </w:rPr>
      </w:pPr>
      <w:r w:rsidRPr="004A1317">
        <w:rPr>
          <w:rFonts w:ascii="Times New Roman" w:hAnsi="Times New Roman" w:cs="Times New Roman"/>
          <w:b/>
          <w:bCs/>
          <w:sz w:val="28"/>
          <w:szCs w:val="28"/>
          <w:lang w:val="fr-FR"/>
        </w:rPr>
        <w:t xml:space="preserve">L’Organisation Islamique pour la Sécurité Alimentaire, </w:t>
      </w:r>
    </w:p>
    <w:p w14:paraId="151562D9" w14:textId="347C23E2" w:rsidR="009046C1" w:rsidRPr="004A1317" w:rsidRDefault="009046C1" w:rsidP="004A1317">
      <w:pPr>
        <w:spacing w:after="0" w:line="240" w:lineRule="auto"/>
        <w:jc w:val="both"/>
        <w:rPr>
          <w:rFonts w:ascii="Times New Roman" w:hAnsi="Times New Roman" w:cs="Times New Roman"/>
          <w:b/>
          <w:bCs/>
          <w:sz w:val="28"/>
          <w:szCs w:val="28"/>
          <w:lang w:val="fr-FR"/>
        </w:rPr>
      </w:pPr>
      <w:r w:rsidRPr="004A1317">
        <w:rPr>
          <w:rFonts w:ascii="Times New Roman" w:hAnsi="Times New Roman" w:cs="Times New Roman"/>
          <w:b/>
          <w:bCs/>
          <w:sz w:val="28"/>
          <w:szCs w:val="28"/>
          <w:lang w:val="fr-FR"/>
        </w:rPr>
        <w:t>Nour-Soultan, République du Kazakhstan</w:t>
      </w:r>
      <w:bookmarkEnd w:id="0"/>
    </w:p>
    <w:sectPr w:rsidR="009046C1" w:rsidRPr="004A1317" w:rsidSect="004A1317">
      <w:headerReference w:type="default" r:id="rId12"/>
      <w:footerReference w:type="default" r:id="rId13"/>
      <w:pgSz w:w="12240" w:h="15840"/>
      <w:pgMar w:top="72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C0F9C" w14:textId="77777777" w:rsidR="0038630C" w:rsidRDefault="0038630C" w:rsidP="007B67DC">
      <w:pPr>
        <w:spacing w:after="0" w:line="240" w:lineRule="auto"/>
      </w:pPr>
      <w:r>
        <w:separator/>
      </w:r>
    </w:p>
  </w:endnote>
  <w:endnote w:type="continuationSeparator" w:id="0">
    <w:p w14:paraId="4FE3BD77" w14:textId="77777777" w:rsidR="0038630C" w:rsidRDefault="0038630C" w:rsidP="007B6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028712"/>
      <w:docPartObj>
        <w:docPartGallery w:val="Page Numbers (Bottom of Page)"/>
        <w:docPartUnique/>
      </w:docPartObj>
    </w:sdtPr>
    <w:sdtEndPr>
      <w:rPr>
        <w:noProof/>
      </w:rPr>
    </w:sdtEndPr>
    <w:sdtContent>
      <w:p w14:paraId="6F40D149" w14:textId="59680980" w:rsidR="007B67DC" w:rsidRDefault="007B67DC">
        <w:pPr>
          <w:pStyle w:val="a6"/>
          <w:jc w:val="center"/>
        </w:pPr>
        <w:r>
          <w:fldChar w:fldCharType="begin"/>
        </w:r>
        <w:r>
          <w:instrText xml:space="preserve"> PAGE   \* MERGEFORMAT </w:instrText>
        </w:r>
        <w:r>
          <w:fldChar w:fldCharType="separate"/>
        </w:r>
        <w:r w:rsidR="00DF7936">
          <w:rPr>
            <w:noProof/>
          </w:rPr>
          <w:t>8</w:t>
        </w:r>
        <w:r>
          <w:rPr>
            <w:noProof/>
          </w:rPr>
          <w:fldChar w:fldCharType="end"/>
        </w:r>
      </w:p>
    </w:sdtContent>
  </w:sdt>
  <w:p w14:paraId="3156E7B1" w14:textId="77777777" w:rsidR="007B67DC" w:rsidRDefault="007B67D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63280" w14:textId="77777777" w:rsidR="0038630C" w:rsidRDefault="0038630C" w:rsidP="007B67DC">
      <w:pPr>
        <w:spacing w:after="0" w:line="240" w:lineRule="auto"/>
      </w:pPr>
      <w:r>
        <w:separator/>
      </w:r>
    </w:p>
  </w:footnote>
  <w:footnote w:type="continuationSeparator" w:id="0">
    <w:p w14:paraId="09AA581B" w14:textId="77777777" w:rsidR="0038630C" w:rsidRDefault="0038630C" w:rsidP="007B67DC">
      <w:pPr>
        <w:spacing w:after="0" w:line="240" w:lineRule="auto"/>
      </w:pPr>
      <w:r>
        <w:continuationSeparator/>
      </w:r>
    </w:p>
  </w:footnote>
  <w:footnote w:id="1">
    <w:p w14:paraId="2A16465E" w14:textId="77777777" w:rsidR="00B71E3B" w:rsidRPr="00E369B1" w:rsidRDefault="00B71E3B" w:rsidP="00B71E3B">
      <w:pPr>
        <w:pStyle w:val="aa"/>
        <w:rPr>
          <w:lang w:val="fr-FR"/>
        </w:rPr>
      </w:pPr>
      <w:r>
        <w:rPr>
          <w:rStyle w:val="ac"/>
        </w:rPr>
        <w:footnoteRef/>
      </w:r>
      <w:r w:rsidRPr="00E369B1">
        <w:rPr>
          <w:lang w:val="fr-FR"/>
        </w:rPr>
        <w:t xml:space="preserve"> (A.Phocaides: «Manuel technique sur les techniques d'irrigation sous pression» UN-FAO 2000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4576B" w14:textId="0158294D" w:rsidR="00CA18E4" w:rsidRDefault="00CA18E4" w:rsidP="00CA18E4">
    <w:pPr>
      <w:pStyle w:val="a4"/>
      <w:ind w:left="-141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8782F"/>
    <w:multiLevelType w:val="hybridMultilevel"/>
    <w:tmpl w:val="8270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4E3EFC"/>
    <w:multiLevelType w:val="hybridMultilevel"/>
    <w:tmpl w:val="F0F2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455824"/>
    <w:multiLevelType w:val="hybridMultilevel"/>
    <w:tmpl w:val="8F06861E"/>
    <w:lvl w:ilvl="0" w:tplc="6FC2E2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4CE"/>
    <w:rsid w:val="00006962"/>
    <w:rsid w:val="0003463C"/>
    <w:rsid w:val="00035569"/>
    <w:rsid w:val="00062C10"/>
    <w:rsid w:val="00066640"/>
    <w:rsid w:val="000D09D7"/>
    <w:rsid w:val="000F7FE8"/>
    <w:rsid w:val="0010202D"/>
    <w:rsid w:val="00130CA1"/>
    <w:rsid w:val="0016089E"/>
    <w:rsid w:val="0017241C"/>
    <w:rsid w:val="00182FC4"/>
    <w:rsid w:val="0019072E"/>
    <w:rsid w:val="001A3A52"/>
    <w:rsid w:val="001A77A4"/>
    <w:rsid w:val="001D1333"/>
    <w:rsid w:val="001F78F7"/>
    <w:rsid w:val="002459B1"/>
    <w:rsid w:val="00250D64"/>
    <w:rsid w:val="0025528E"/>
    <w:rsid w:val="00272F2C"/>
    <w:rsid w:val="0029014B"/>
    <w:rsid w:val="00293EE6"/>
    <w:rsid w:val="002941D0"/>
    <w:rsid w:val="002A274F"/>
    <w:rsid w:val="003536D5"/>
    <w:rsid w:val="00354236"/>
    <w:rsid w:val="0038630C"/>
    <w:rsid w:val="00386BF8"/>
    <w:rsid w:val="00393D2E"/>
    <w:rsid w:val="003B439E"/>
    <w:rsid w:val="003D0EF0"/>
    <w:rsid w:val="003D763D"/>
    <w:rsid w:val="003D78D6"/>
    <w:rsid w:val="003F07C4"/>
    <w:rsid w:val="00414BDA"/>
    <w:rsid w:val="0045060B"/>
    <w:rsid w:val="00463140"/>
    <w:rsid w:val="004A1317"/>
    <w:rsid w:val="004C1E27"/>
    <w:rsid w:val="004E49C5"/>
    <w:rsid w:val="004F7972"/>
    <w:rsid w:val="005029FC"/>
    <w:rsid w:val="00512517"/>
    <w:rsid w:val="0051655A"/>
    <w:rsid w:val="0052330C"/>
    <w:rsid w:val="00583F2F"/>
    <w:rsid w:val="005909CD"/>
    <w:rsid w:val="005B00EF"/>
    <w:rsid w:val="005C3337"/>
    <w:rsid w:val="005C3366"/>
    <w:rsid w:val="005D44E6"/>
    <w:rsid w:val="005E27E6"/>
    <w:rsid w:val="005E74E9"/>
    <w:rsid w:val="005F2EFB"/>
    <w:rsid w:val="00605916"/>
    <w:rsid w:val="00630A55"/>
    <w:rsid w:val="006313F4"/>
    <w:rsid w:val="00654335"/>
    <w:rsid w:val="0066287C"/>
    <w:rsid w:val="006658EE"/>
    <w:rsid w:val="00666D01"/>
    <w:rsid w:val="006A188F"/>
    <w:rsid w:val="006A2D4F"/>
    <w:rsid w:val="006F24CE"/>
    <w:rsid w:val="006F559D"/>
    <w:rsid w:val="00704C23"/>
    <w:rsid w:val="00724CAD"/>
    <w:rsid w:val="00751090"/>
    <w:rsid w:val="00783626"/>
    <w:rsid w:val="007B67DC"/>
    <w:rsid w:val="007C729A"/>
    <w:rsid w:val="007D1D76"/>
    <w:rsid w:val="007D31A9"/>
    <w:rsid w:val="007E550B"/>
    <w:rsid w:val="007F057A"/>
    <w:rsid w:val="008104B4"/>
    <w:rsid w:val="0083098F"/>
    <w:rsid w:val="0083267A"/>
    <w:rsid w:val="00852AAA"/>
    <w:rsid w:val="00866C19"/>
    <w:rsid w:val="008827C6"/>
    <w:rsid w:val="00882DD2"/>
    <w:rsid w:val="008A574C"/>
    <w:rsid w:val="008C398E"/>
    <w:rsid w:val="008E0871"/>
    <w:rsid w:val="009046C1"/>
    <w:rsid w:val="0090662D"/>
    <w:rsid w:val="00912203"/>
    <w:rsid w:val="0092445D"/>
    <w:rsid w:val="009333A7"/>
    <w:rsid w:val="00933480"/>
    <w:rsid w:val="009336C1"/>
    <w:rsid w:val="009742D7"/>
    <w:rsid w:val="00994C32"/>
    <w:rsid w:val="00997B5D"/>
    <w:rsid w:val="009A7963"/>
    <w:rsid w:val="009C6329"/>
    <w:rsid w:val="009D3AA3"/>
    <w:rsid w:val="009D47AA"/>
    <w:rsid w:val="00A1052C"/>
    <w:rsid w:val="00A17D4B"/>
    <w:rsid w:val="00A400A0"/>
    <w:rsid w:val="00A715DE"/>
    <w:rsid w:val="00A72500"/>
    <w:rsid w:val="00A73006"/>
    <w:rsid w:val="00A85821"/>
    <w:rsid w:val="00AE496F"/>
    <w:rsid w:val="00B00A44"/>
    <w:rsid w:val="00B02A91"/>
    <w:rsid w:val="00B41DFD"/>
    <w:rsid w:val="00B464C8"/>
    <w:rsid w:val="00B71E3B"/>
    <w:rsid w:val="00B7748D"/>
    <w:rsid w:val="00B826F3"/>
    <w:rsid w:val="00B911C2"/>
    <w:rsid w:val="00B91613"/>
    <w:rsid w:val="00BA67F4"/>
    <w:rsid w:val="00BB1C26"/>
    <w:rsid w:val="00BD3E79"/>
    <w:rsid w:val="00BF42E6"/>
    <w:rsid w:val="00C247BF"/>
    <w:rsid w:val="00C253EE"/>
    <w:rsid w:val="00C32638"/>
    <w:rsid w:val="00C34B04"/>
    <w:rsid w:val="00C378DB"/>
    <w:rsid w:val="00C443D1"/>
    <w:rsid w:val="00C82329"/>
    <w:rsid w:val="00CA18E4"/>
    <w:rsid w:val="00CC3277"/>
    <w:rsid w:val="00D20541"/>
    <w:rsid w:val="00DC47BE"/>
    <w:rsid w:val="00DC5721"/>
    <w:rsid w:val="00DD478D"/>
    <w:rsid w:val="00DE6E99"/>
    <w:rsid w:val="00DF7936"/>
    <w:rsid w:val="00E06FD3"/>
    <w:rsid w:val="00E2183F"/>
    <w:rsid w:val="00E26030"/>
    <w:rsid w:val="00E32F5E"/>
    <w:rsid w:val="00E43892"/>
    <w:rsid w:val="00E63D4A"/>
    <w:rsid w:val="00E676CA"/>
    <w:rsid w:val="00E802B8"/>
    <w:rsid w:val="00E8758F"/>
    <w:rsid w:val="00EA014A"/>
    <w:rsid w:val="00EA5C1C"/>
    <w:rsid w:val="00EC696D"/>
    <w:rsid w:val="00ED3CBB"/>
    <w:rsid w:val="00EF78CF"/>
    <w:rsid w:val="00F025FB"/>
    <w:rsid w:val="00F26ECB"/>
    <w:rsid w:val="00F274CB"/>
    <w:rsid w:val="00F30905"/>
    <w:rsid w:val="00F33BD2"/>
    <w:rsid w:val="00F42397"/>
    <w:rsid w:val="00F512CF"/>
    <w:rsid w:val="00F52010"/>
    <w:rsid w:val="00F57753"/>
    <w:rsid w:val="00F94A52"/>
    <w:rsid w:val="00FA1319"/>
    <w:rsid w:val="00FC2A9E"/>
    <w:rsid w:val="00FD292B"/>
    <w:rsid w:val="00FE0C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2568A"/>
  <w15:chartTrackingRefBased/>
  <w15:docId w15:val="{5560CE2D-4ED1-4B4A-8D1B-D013593AD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24CE"/>
    <w:pPr>
      <w:ind w:left="720"/>
      <w:contextualSpacing/>
    </w:pPr>
  </w:style>
  <w:style w:type="paragraph" w:styleId="a4">
    <w:name w:val="header"/>
    <w:basedOn w:val="a"/>
    <w:link w:val="a5"/>
    <w:uiPriority w:val="99"/>
    <w:unhideWhenUsed/>
    <w:rsid w:val="007B67DC"/>
    <w:pPr>
      <w:tabs>
        <w:tab w:val="center" w:pos="4680"/>
        <w:tab w:val="right" w:pos="9360"/>
      </w:tabs>
      <w:spacing w:after="0" w:line="240" w:lineRule="auto"/>
    </w:pPr>
  </w:style>
  <w:style w:type="character" w:customStyle="1" w:styleId="a5">
    <w:name w:val="Верхний колонтитул Знак"/>
    <w:basedOn w:val="a0"/>
    <w:link w:val="a4"/>
    <w:uiPriority w:val="99"/>
    <w:rsid w:val="007B67DC"/>
  </w:style>
  <w:style w:type="paragraph" w:styleId="a6">
    <w:name w:val="footer"/>
    <w:basedOn w:val="a"/>
    <w:link w:val="a7"/>
    <w:uiPriority w:val="99"/>
    <w:unhideWhenUsed/>
    <w:rsid w:val="007B67DC"/>
    <w:pPr>
      <w:tabs>
        <w:tab w:val="center" w:pos="4680"/>
        <w:tab w:val="right" w:pos="9360"/>
      </w:tabs>
      <w:spacing w:after="0" w:line="240" w:lineRule="auto"/>
    </w:pPr>
  </w:style>
  <w:style w:type="character" w:customStyle="1" w:styleId="a7">
    <w:name w:val="Нижний колонтитул Знак"/>
    <w:basedOn w:val="a0"/>
    <w:link w:val="a6"/>
    <w:uiPriority w:val="99"/>
    <w:rsid w:val="007B67DC"/>
  </w:style>
  <w:style w:type="paragraph" w:styleId="a8">
    <w:name w:val="Balloon Text"/>
    <w:basedOn w:val="a"/>
    <w:link w:val="a9"/>
    <w:uiPriority w:val="99"/>
    <w:semiHidden/>
    <w:unhideWhenUsed/>
    <w:rsid w:val="000D09D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D09D7"/>
    <w:rPr>
      <w:rFonts w:ascii="Segoe UI" w:hAnsi="Segoe UI" w:cs="Segoe UI"/>
      <w:sz w:val="18"/>
      <w:szCs w:val="18"/>
    </w:rPr>
  </w:style>
  <w:style w:type="paragraph" w:styleId="aa">
    <w:name w:val="footnote text"/>
    <w:basedOn w:val="a"/>
    <w:link w:val="ab"/>
    <w:uiPriority w:val="99"/>
    <w:semiHidden/>
    <w:unhideWhenUsed/>
    <w:rsid w:val="00654335"/>
    <w:pPr>
      <w:spacing w:after="0" w:line="240" w:lineRule="auto"/>
    </w:pPr>
    <w:rPr>
      <w:sz w:val="20"/>
      <w:szCs w:val="20"/>
    </w:rPr>
  </w:style>
  <w:style w:type="character" w:customStyle="1" w:styleId="ab">
    <w:name w:val="Текст сноски Знак"/>
    <w:basedOn w:val="a0"/>
    <w:link w:val="aa"/>
    <w:uiPriority w:val="99"/>
    <w:semiHidden/>
    <w:rsid w:val="00654335"/>
    <w:rPr>
      <w:sz w:val="20"/>
      <w:szCs w:val="20"/>
    </w:rPr>
  </w:style>
  <w:style w:type="character" w:styleId="ac">
    <w:name w:val="footnote reference"/>
    <w:basedOn w:val="a0"/>
    <w:uiPriority w:val="99"/>
    <w:semiHidden/>
    <w:unhideWhenUsed/>
    <w:rsid w:val="00654335"/>
    <w:rPr>
      <w:vertAlign w:val="superscript"/>
    </w:rPr>
  </w:style>
  <w:style w:type="paragraph" w:styleId="ad">
    <w:name w:val="Subtitle"/>
    <w:basedOn w:val="a"/>
    <w:next w:val="a"/>
    <w:link w:val="ae"/>
    <w:uiPriority w:val="11"/>
    <w:qFormat/>
    <w:rsid w:val="00F42397"/>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F42397"/>
    <w:rPr>
      <w:rFonts w:eastAsiaTheme="minorEastAsia"/>
      <w:color w:val="5A5A5A" w:themeColor="text1" w:themeTint="A5"/>
      <w:spacing w:val="15"/>
    </w:rPr>
  </w:style>
  <w:style w:type="character" w:styleId="af">
    <w:name w:val="annotation reference"/>
    <w:basedOn w:val="a0"/>
    <w:uiPriority w:val="99"/>
    <w:semiHidden/>
    <w:unhideWhenUsed/>
    <w:rsid w:val="00F57753"/>
    <w:rPr>
      <w:sz w:val="16"/>
      <w:szCs w:val="16"/>
    </w:rPr>
  </w:style>
  <w:style w:type="paragraph" w:styleId="af0">
    <w:name w:val="annotation text"/>
    <w:basedOn w:val="a"/>
    <w:link w:val="af1"/>
    <w:uiPriority w:val="99"/>
    <w:semiHidden/>
    <w:unhideWhenUsed/>
    <w:rsid w:val="00F57753"/>
    <w:pPr>
      <w:spacing w:line="240" w:lineRule="auto"/>
    </w:pPr>
    <w:rPr>
      <w:sz w:val="20"/>
      <w:szCs w:val="20"/>
    </w:rPr>
  </w:style>
  <w:style w:type="character" w:customStyle="1" w:styleId="af1">
    <w:name w:val="Текст примечания Знак"/>
    <w:basedOn w:val="a0"/>
    <w:link w:val="af0"/>
    <w:uiPriority w:val="99"/>
    <w:semiHidden/>
    <w:rsid w:val="00F57753"/>
    <w:rPr>
      <w:sz w:val="20"/>
      <w:szCs w:val="20"/>
    </w:rPr>
  </w:style>
  <w:style w:type="paragraph" w:styleId="af2">
    <w:name w:val="annotation subject"/>
    <w:basedOn w:val="af0"/>
    <w:next w:val="af0"/>
    <w:link w:val="af3"/>
    <w:uiPriority w:val="99"/>
    <w:semiHidden/>
    <w:unhideWhenUsed/>
    <w:rsid w:val="00F57753"/>
    <w:rPr>
      <w:b/>
      <w:bCs/>
    </w:rPr>
  </w:style>
  <w:style w:type="character" w:customStyle="1" w:styleId="af3">
    <w:name w:val="Тема примечания Знак"/>
    <w:basedOn w:val="af1"/>
    <w:link w:val="af2"/>
    <w:uiPriority w:val="99"/>
    <w:semiHidden/>
    <w:rsid w:val="00F577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4698D-A652-4C31-BF02-EE730926B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2920</Words>
  <Characters>16644</Characters>
  <Application>Microsoft Office Word</Application>
  <DocSecurity>0</DocSecurity>
  <Lines>138</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Hameed Opeloyeru</dc:creator>
  <cp:keywords/>
  <dc:description/>
  <cp:lastModifiedBy>speCtre</cp:lastModifiedBy>
  <cp:revision>2</cp:revision>
  <cp:lastPrinted>2020-10-14T08:58:00Z</cp:lastPrinted>
  <dcterms:created xsi:type="dcterms:W3CDTF">2020-11-06T05:37:00Z</dcterms:created>
  <dcterms:modified xsi:type="dcterms:W3CDTF">2020-11-06T05:37:00Z</dcterms:modified>
</cp:coreProperties>
</file>